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color w:val="0B396E"/>
          <w:sz w:val="52"/>
        </w:rPr>
        <w:t>智绘PCB——AI 智能 PCB 设计助手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8"/>
        </w:rPr>
        <w:t>大学生创新创业训练计划项目</w:t>
      </w:r>
    </w:p>
    <w:p>
      <w:pPr>
        <w:spacing w:before="800"/>
        <w:jc w:val="center"/>
      </w:pP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B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AI 算法与知识库 · 机器学习 / 大模型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 分工报告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本报告为「智绘PCB——AI智能PCB设计助手」三人分工报告中成员 B 的分册，聚焦自研轻量机器学习模型、置信度校准与 PCB 领域知识库。成员 B 负责让系统"更懂 PCB 设计"，从云端 API 依赖走向完全离线、可解释、可部署的 AI 能力。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协作关系：B 的意图分类器供 NLU 引擎使用（本地优先→关键词回退→远程兜底），元件分类器供 A 的 DRC 规则引擎做语义识别，变更风险预测器供 C 的闭环实验做预检拦截。B 的模型是连接 A、C 的智能核心。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一、主要研究内容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1.1 三自研轻量 ML 模型（总参数 &lt; 1M，全部离线、CPU 推理 &lt; 2ms）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为替代云端 API 依赖，从零构建三个功能专一的字符级 TextCNN 模型，轻量、快速、可部署：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模型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type="dxa" w:w="158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准确率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模型文件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意图分类器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≈244K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 类自然语言意图识别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99.09%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960KB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元件类型分类器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≈600K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细类→4 粗类映射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99.24%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2.3MB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变更风险预测器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≈100K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BOM 变更风险（21 维特征）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0.671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意图分类器核心是字符级 TextCNN：输入文本 → 字符 Embedding → 多尺度 Conv1D → GlobalMaxPool → 分类头。三种不同卷积核尺度并行提取局部 n-gram 特征，再拼接得到全局表征。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forward(self, input_ids):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Embedding + 调整维度给 Conv1d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self.embedding(input_ids).transpose(1, 2)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conv_outputs =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conv in self.convs:                     # 多尺度卷积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y = conv(x); y = F.relu(y)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y = F.max_pool1d(y, y.size(2))          # GlobalMaxPool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conv_outputs.append(y.squeeze(2))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torch.cat(conv_outputs, dim=1)          # 拼接多尺度特征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self.dropout(x)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F.relu(self.fc1(x))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self.fc2(x)                             # (batch, num_classes)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x</w:t>
      </w:r>
    </w:p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1.2 置信度校准（Temperature Scaling）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模型输出的置信度往往过于自信，直接用于拒识/预检不可靠。实现温度缩放校准，并引入 ECE（期望校准误差）/ MCE 评估 + 可靠性图数据，校准模型已部署到主推理路径：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意图分类器：ECE 0.0159 → 0.0098（T=0.896）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元件分类器：ECE 0.0090 → 0.0056（T=0.783）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predict(self, input_ids):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self.eval()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with torch.no_grad():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logits = self.forward(input_ids) / self.temperature   # 应用校准温度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probs = F.softmax(logits, dim=1)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best_idx = probs.argmax(dim=1)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intents = [IDX_TO_INTENT[i.item()] for i in best_idx]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confidences = probs.max(dim=1).values.tolist()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intents, confidences</w:t>
      </w:r>
    </w:p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1.3 违规知识挖掘（FP-Growth + 关联规则 + Fisher 检验）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从检查结果中挖掘"违规与违规/元件类型"的关联规则，为设计师提供经验性指导。采用 FP-Growth 频繁项集挖掘 + 关联规则提取 + Fisher 显著性检验过滤 + 电路类型模式命名。输出 violation_association_rules.md 规则报告。（注：当前 7 真实板 + 3 合成板，板级统计功效仍有限，需 20-30 块板方能出论文级显著结果。）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1.4 RAG 知识库（11 文件 / 2041 行 / 8 大类）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构建 PCB 领域知识库，涵盖 IPC 标准、高速数字设计、信号完整性/PDN、EMC/EMI、先进材料、DFM 指南、热管理、混合信号/RF、BGA/先进封装、中国行业实践。每文件含公式/数据表/经验法则/常见陷阱/交叉引用。采用 chromadb + 本地 embedding，实现增量索引（manifest 基于 mtime）、过时条目自动清理、全链路集成（ToolRegistry→Controller→Eel→REST 端点）。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B6B"/>
          <w:sz w:val="24"/>
        </w:rPr>
        <w:t>1.5 多智能体审查与推理部署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5 Agent 并发评审，从不同角色维度交叉复核，输出共识汇总与雷达图。模型推理封装 &lt; 2ms，三模型串联合计 &lt; 1M 参数，可实现无云依赖的离线部署方案。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二、研究成果与量化指标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成果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量化指标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意图分类器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 类 / 99.09% 准确率 / 960KB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元件分类器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细类 / 99.24% 准确率 / 2.3MB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变更风险预测器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21 维特征 / 风险排序正确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置信度校准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ECE 0.0098 / 0.0056，模型已部署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RAG 知识库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 大类 / 11 文件 / 2041 行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创新叙事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"From Detection to Prediction"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三、创新点与项目贡献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① </w:t>
      </w:r>
      <w:r>
        <w:rPr>
          <w:rFonts w:ascii="Times New Roman" w:hAnsi="Times New Roman" w:eastAsia="宋体"/>
          <w:b w:val="0"/>
          <w:sz w:val="21"/>
        </w:rPr>
        <w:t>自研轻量 ML 模型，离线可部署，摆脱云端依赖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② </w:t>
      </w:r>
      <w:r>
        <w:rPr>
          <w:rFonts w:ascii="Times New Roman" w:hAnsi="Times New Roman" w:eastAsia="宋体"/>
          <w:b w:val="0"/>
          <w:sz w:val="21"/>
        </w:rPr>
        <w:t>温度缩放置信度校准，提升预检/拒识可靠性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③ </w:t>
      </w:r>
      <w:r>
        <w:rPr>
          <w:rFonts w:ascii="Times New Roman" w:hAnsi="Times New Roman" w:eastAsia="宋体"/>
          <w:b w:val="0"/>
          <w:sz w:val="21"/>
        </w:rPr>
        <w:t>FP-Growth 违规知识挖掘，从"检测"走向"预测"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B396E"/>
          <w:sz w:val="28"/>
        </w:rPr>
        <w:t>四、工作量说明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成员 B 聚焦 AI 算法与知识库，任务具有强研究性：三自研模型需自行构建训练数据，完成训练脚本、超参搜索、消融实验与多轮调优；置信度校准需对比多种方案并验证部署；RAG 知识库需查阅大量 IPC 与行业标准并逐条整理成可用知识。考虑模型选型调研、跨学科知识学习与反复实验成本，等效投入约 12.0 人月，占项目总工作量（约 36.5 人月）的 33%。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