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Регламент блокировки карты и управления риском мошенничества</w:t>
      </w:r>
    </w:p>
    <w:p>
      <w:pPr>
        <w:jc w:val="center"/>
      </w:pPr>
      <w:r>
        <w:t>ID: REG-BLK-002    Версия: 1.0    Дата: 2026-02-24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Классификация</w:t>
            </w:r>
          </w:p>
        </w:tc>
        <w:tc>
          <w:tcPr>
            <w:tcW w:type="dxa" w:w="4824"/>
          </w:tcPr>
          <w:p>
            <w:r>
              <w:t>Внутренний</w:t>
            </w:r>
          </w:p>
        </w:tc>
      </w:tr>
      <w:tr>
        <w:tc>
          <w:tcPr>
            <w:tcW w:type="dxa" w:w="4824"/>
          </w:tcPr>
          <w:p>
            <w:r>
              <w:t>Владелец документа</w:t>
            </w:r>
          </w:p>
        </w:tc>
        <w:tc>
          <w:tcPr>
            <w:tcW w:type="dxa" w:w="4824"/>
          </w:tcPr>
          <w:p>
            <w:r>
              <w:t>Руководитель направления поддержки</w:t>
            </w:r>
          </w:p>
        </w:tc>
      </w:tr>
      <w:tr>
        <w:tc>
          <w:tcPr>
            <w:tcW w:type="dxa" w:w="4824"/>
          </w:tcPr>
          <w:p>
            <w:r>
              <w:t>Утверждающий</w:t>
            </w:r>
          </w:p>
        </w:tc>
        <w:tc>
          <w:tcPr>
            <w:tcW w:type="dxa" w:w="4824"/>
          </w:tcPr>
          <w:p>
            <w:r>
              <w:t>Руководитель службы комплаенса</w:t>
            </w:r>
          </w:p>
        </w:tc>
      </w:tr>
      <w:tr>
        <w:tc>
          <w:tcPr>
            <w:tcW w:type="dxa" w:w="4824"/>
          </w:tcPr>
          <w:p>
            <w:r>
              <w:t>Область действия</w:t>
            </w:r>
          </w:p>
        </w:tc>
        <w:tc>
          <w:tcPr>
            <w:tcW w:type="dxa" w:w="4824"/>
          </w:tcPr>
          <w:p>
            <w:r>
              <w:t>Контактный центр / операторские подразделения (карточные продукты)</w:t>
            </w:r>
          </w:p>
        </w:tc>
      </w:tr>
      <w:tr>
        <w:tc>
          <w:tcPr>
            <w:tcW w:type="dxa" w:w="4824"/>
          </w:tcPr>
          <w:p>
            <w:r>
              <w:t>Связанные документы</w:t>
            </w:r>
          </w:p>
        </w:tc>
        <w:tc>
          <w:tcPr>
            <w:tcW w:type="dxa" w:w="4824"/>
          </w:tcPr>
          <w:p>
            <w:r>
              <w:t>Политика ИБ; Политика обработки ПДн; Инструкции по антифроду</w:t>
            </w:r>
          </w:p>
        </w:tc>
      </w:tr>
      <w:tr>
        <w:tc>
          <w:tcPr>
            <w:tcW w:type="dxa" w:w="4824"/>
          </w:tcPr>
          <w:p>
            <w:r>
              <w:t>Срок пересмотра</w:t>
            </w:r>
          </w:p>
        </w:tc>
        <w:tc>
          <w:tcPr>
            <w:tcW w:type="dxa" w:w="4824"/>
          </w:tcPr>
          <w:p>
            <w:r>
              <w:t>Не реже 1 раза в 12 месяцев или при изменениях процессов</w:t>
            </w:r>
          </w:p>
        </w:tc>
      </w:tr>
    </w:tbl>
    <w:p>
      <w:r>
        <w:br w:type="page"/>
      </w:r>
    </w:p>
    <w:p>
      <w:pPr>
        <w:pStyle w:val="Heading1"/>
      </w:pPr>
      <w:r>
        <w:t>1. Назначение</w:t>
      </w:r>
    </w:p>
    <w:p>
      <w:r>
        <w:t>Регламент определяет порядок блокировки карты в рамках обращений о подозрительных операциях, а также коммуникацию с клиентом и фиксацию решений. Цель - снизить вероятность повторных списаний и минимизировать ущерб.</w:t>
      </w:r>
    </w:p>
    <w:p>
      <w:pPr>
        <w:pStyle w:val="Heading1"/>
      </w:pPr>
      <w:r>
        <w:t>2. Основания для блокировки</w:t>
      </w:r>
    </w:p>
    <w:p>
      <w:pPr>
        <w:pStyle w:val="Heading2"/>
      </w:pPr>
      <w:r>
        <w:t>2.1. Блокировка по просьбе клиента</w:t>
      </w:r>
    </w:p>
    <w:p>
      <w:pPr>
        <w:pStyle w:val="ListBullet"/>
      </w:pPr>
      <w:r>
        <w:t>Клиент подтверждает, что операция не совершалась и просит блокировку карты.</w:t>
      </w:r>
    </w:p>
    <w:p>
      <w:pPr>
        <w:pStyle w:val="ListBullet"/>
      </w:pPr>
      <w:r>
        <w:t>Клиент сообщает об утере/краже карты.</w:t>
      </w:r>
    </w:p>
    <w:p>
      <w:pPr>
        <w:pStyle w:val="ListBullet"/>
      </w:pPr>
      <w:r>
        <w:t>Клиент подозревает компрометацию реквизитов (подозрительный сайт/сервис).</w:t>
      </w:r>
    </w:p>
    <w:p>
      <w:pPr>
        <w:pStyle w:val="Heading2"/>
      </w:pPr>
      <w:r>
        <w:t>2.2. Блокировка по повышенному риску (эскалация)</w:t>
      </w:r>
    </w:p>
    <w:p>
      <w:pPr>
        <w:pStyle w:val="ListBullet"/>
      </w:pPr>
      <w:r>
        <w:t>Множественные списания за короткий период.</w:t>
      </w:r>
    </w:p>
    <w:p>
      <w:pPr>
        <w:pStyle w:val="ListBullet"/>
      </w:pPr>
      <w:r>
        <w:t>Признаки социнжиниринга: удаленный доступ, передача кодов.</w:t>
      </w:r>
    </w:p>
    <w:p>
      <w:pPr>
        <w:pStyle w:val="ListBullet"/>
      </w:pPr>
      <w:r>
        <w:t>Подозрение на компрометацию устройства/аккаунта (по внутренним сигналам).</w:t>
      </w:r>
    </w:p>
    <w:p>
      <w:r>
        <w:t>В сценариях 2.2 оператор привлекает старшего оператора/антифрод по внутренним правилам. В MVP допускается фиксация эскалации в notes кейса.</w:t>
      </w:r>
    </w:p>
    <w:p>
      <w:pPr>
        <w:pStyle w:val="Heading1"/>
      </w:pPr>
      <w:r>
        <w:t>3. Обязательные подтверждения и формулировки</w:t>
      </w:r>
    </w:p>
    <w:p>
      <w:pPr>
        <w:pStyle w:val="ListNumber"/>
      </w:pPr>
      <w:r>
        <w:t>Подтвердить у клиента: "Вы просите заблокировать карту прямо сейчас?" (да/нет).</w:t>
      </w:r>
    </w:p>
    <w:p>
      <w:pPr>
        <w:pStyle w:val="ListNumber"/>
      </w:pPr>
      <w:r>
        <w:t>Если клиент сомневается: объяснить последствия и доступные альтернативы (если предусмотрены).</w:t>
      </w:r>
    </w:p>
    <w:p>
      <w:pPr>
        <w:pStyle w:val="ListNumber"/>
      </w:pPr>
      <w:r>
        <w:t>Повторить предупреждение: банк не просит коды из SMS/Push и ПИН.</w:t>
      </w:r>
    </w:p>
    <w:p>
      <w:pPr>
        <w:pStyle w:val="Heading1"/>
      </w:pPr>
      <w:r>
        <w:t>4. Процесс блокировки (оператор)</w:t>
      </w:r>
    </w:p>
    <w:p>
      <w:pPr>
        <w:pStyle w:val="ListNumber"/>
      </w:pPr>
      <w:r>
        <w:t>Зафиксировать согласие клиента на блокировку в истории сообщений.</w:t>
      </w:r>
    </w:p>
    <w:p>
      <w:pPr>
        <w:pStyle w:val="ListNumber"/>
      </w:pPr>
      <w:r>
        <w:t>Вызвать инструмент block_card.</w:t>
      </w:r>
    </w:p>
    <w:p>
      <w:pPr>
        <w:pStyle w:val="ListNumber"/>
      </w:pPr>
      <w:r>
        <w:t>Убедиться, что инструмент вернул подтверждение (reference_id).</w:t>
      </w:r>
    </w:p>
    <w:p>
      <w:pPr>
        <w:pStyle w:val="ListNumber"/>
      </w:pPr>
      <w:r>
        <w:t>Сообщить клиенту факт блокировки и дальнейшие шаги (перевыпуск, безопасность).</w:t>
      </w:r>
    </w:p>
    <w:p>
      <w:pPr>
        <w:pStyle w:val="ListNumber"/>
      </w:pPr>
      <w:r>
        <w:t>Если есть кейс на оспаривание - привязать блокировку к кейсу (таймлайн/notes).</w:t>
      </w:r>
    </w:p>
    <w:p>
      <w:pPr>
        <w:pStyle w:val="Heading1"/>
      </w:pPr>
      <w:r>
        <w:t>5. Коммуникация после блокировки</w:t>
      </w:r>
    </w:p>
    <w:p>
      <w:pPr>
        <w:pStyle w:val="ListBullet"/>
      </w:pPr>
      <w:r>
        <w:t>Сообщить, что карта недействительна, и как получить новую (канал/сроки - по правилам банка).</w:t>
      </w:r>
    </w:p>
    <w:p>
      <w:pPr>
        <w:pStyle w:val="ListBullet"/>
      </w:pPr>
      <w:r>
        <w:t>Дать рекомендации: сменить пароли, проверить устройство, не устанавливать удаленный доступ.</w:t>
      </w:r>
    </w:p>
    <w:p>
      <w:pPr>
        <w:pStyle w:val="ListBullet"/>
      </w:pPr>
      <w:r>
        <w:t>Если клиент сообщал коды/ПИН - немедленная эскалация и приоритетная обработка.</w:t>
      </w:r>
    </w:p>
    <w:p>
      <w:pPr>
        <w:pStyle w:val="Heading1"/>
      </w:pPr>
      <w:r>
        <w:t>6. Запрещенные обещания и фразы</w:t>
      </w:r>
    </w:p>
    <w:p>
      <w:pPr>
        <w:pStyle w:val="ListBullet"/>
      </w:pPr>
      <w:r>
        <w:t>Нельзя: "Мы точно вернем деньги".</w:t>
      </w:r>
    </w:p>
    <w:p>
      <w:pPr>
        <w:pStyle w:val="ListBullet"/>
      </w:pPr>
      <w:r>
        <w:t>Нельзя: "Операция отменена".</w:t>
      </w:r>
    </w:p>
    <w:p>
      <w:pPr>
        <w:pStyle w:val="ListBullet"/>
      </w:pPr>
      <w:r>
        <w:t>Нельзя: "Мы уже заблокировали", если tool_result нет.</w:t>
      </w:r>
    </w:p>
    <w:p>
      <w:pPr>
        <w:pStyle w:val="ListBullet"/>
      </w:pPr>
      <w:r>
        <w:t>Нельзя запрашивать секреты.</w:t>
      </w:r>
    </w:p>
    <w:p>
      <w:pPr>
        <w:pStyle w:val="Heading1"/>
      </w:pPr>
      <w:r>
        <w:t>7. Фиксация и аудит</w:t>
      </w:r>
    </w:p>
    <w:p>
      <w:pPr>
        <w:pStyle w:val="ListBullet"/>
      </w:pPr>
      <w:r>
        <w:t>Каждая блокировка фиксируется: tool_called/tool_result, reference_id.</w:t>
      </w:r>
    </w:p>
    <w:p>
      <w:pPr>
        <w:pStyle w:val="ListBullet"/>
      </w:pPr>
      <w:r>
        <w:t>В кейсе фиксируются: причина, согласие клиента, рекомендации.</w:t>
      </w:r>
    </w:p>
    <w:p>
      <w:pPr>
        <w:pStyle w:val="ListBullet"/>
      </w:pPr>
      <w:r>
        <w:t>Ошибочная блокировка оформляется как инцидент качества; аудит не удаляется.</w:t>
      </w:r>
    </w:p>
    <w:p>
      <w:pPr>
        <w:pStyle w:val="Heading1"/>
      </w:pPr>
      <w:r>
        <w:t>8. Приложение A: шаблон заметки в кейс</w:t>
      </w:r>
    </w:p>
    <w:p>
      <w:r>
        <w:t>Причина: подозрительная операция / утеря / компрометация. Согласие клиента: да. Блокировка выполнена: reference_id={REF_ID}. Рекомендации по безопасности предоставлены. Следующие шаги: оспаривание операции, перевыпуск карты.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