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Регламент обработки обращений по оспариванию операций по карте</w:t>
      </w:r>
    </w:p>
    <w:p>
      <w:pPr>
        <w:jc w:val="center"/>
      </w:pPr>
      <w:r>
        <w:t>ID: REG-DSP-001    Версия: 1.0    Дата: 2026-02-24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Классификация</w:t>
            </w:r>
          </w:p>
        </w:tc>
        <w:tc>
          <w:tcPr>
            <w:tcW w:type="dxa" w:w="4824"/>
          </w:tcPr>
          <w:p>
            <w:r>
              <w:t>Внутренний</w:t>
            </w:r>
          </w:p>
        </w:tc>
      </w:tr>
      <w:tr>
        <w:tc>
          <w:tcPr>
            <w:tcW w:type="dxa" w:w="4824"/>
          </w:tcPr>
          <w:p>
            <w:r>
              <w:t>Владелец документа</w:t>
            </w:r>
          </w:p>
        </w:tc>
        <w:tc>
          <w:tcPr>
            <w:tcW w:type="dxa" w:w="4824"/>
          </w:tcPr>
          <w:p>
            <w:r>
              <w:t>Руководитель направления поддержки</w:t>
            </w:r>
          </w:p>
        </w:tc>
      </w:tr>
      <w:tr>
        <w:tc>
          <w:tcPr>
            <w:tcW w:type="dxa" w:w="4824"/>
          </w:tcPr>
          <w:p>
            <w:r>
              <w:t>Утверждающий</w:t>
            </w:r>
          </w:p>
        </w:tc>
        <w:tc>
          <w:tcPr>
            <w:tcW w:type="dxa" w:w="4824"/>
          </w:tcPr>
          <w:p>
            <w:r>
              <w:t>Руководитель службы комплаенса</w:t>
            </w:r>
          </w:p>
        </w:tc>
      </w:tr>
      <w:tr>
        <w:tc>
          <w:tcPr>
            <w:tcW w:type="dxa" w:w="4824"/>
          </w:tcPr>
          <w:p>
            <w:r>
              <w:t>Область действия</w:t>
            </w:r>
          </w:p>
        </w:tc>
        <w:tc>
          <w:tcPr>
            <w:tcW w:type="dxa" w:w="4824"/>
          </w:tcPr>
          <w:p>
            <w:r>
              <w:t>Контактный центр / операторские подразделения (карточные продукты)</w:t>
            </w:r>
          </w:p>
        </w:tc>
      </w:tr>
      <w:tr>
        <w:tc>
          <w:tcPr>
            <w:tcW w:type="dxa" w:w="4824"/>
          </w:tcPr>
          <w:p>
            <w:r>
              <w:t>Связанные документы</w:t>
            </w:r>
          </w:p>
        </w:tc>
        <w:tc>
          <w:tcPr>
            <w:tcW w:type="dxa" w:w="4824"/>
          </w:tcPr>
          <w:p>
            <w:r>
              <w:t>Политика ИБ; Политика обработки ПДн; Инструкции по антифроду</w:t>
            </w:r>
          </w:p>
        </w:tc>
      </w:tr>
      <w:tr>
        <w:tc>
          <w:tcPr>
            <w:tcW w:type="dxa" w:w="4824"/>
          </w:tcPr>
          <w:p>
            <w:r>
              <w:t>Срок пересмотра</w:t>
            </w:r>
          </w:p>
        </w:tc>
        <w:tc>
          <w:tcPr>
            <w:tcW w:type="dxa" w:w="4824"/>
          </w:tcPr>
          <w:p>
            <w:r>
              <w:t>Не реже 1 раза в 12 месяцев или при изменениях процессов</w:t>
            </w:r>
          </w:p>
        </w:tc>
      </w:tr>
    </w:tbl>
    <w:p>
      <w:r>
        <w:br w:type="page"/>
      </w:r>
    </w:p>
    <w:p>
      <w:pPr>
        <w:pStyle w:val="Heading1"/>
      </w:pPr>
      <w:r>
        <w:t>1. Цель и принципы</w:t>
      </w:r>
    </w:p>
    <w:p>
      <w:r>
        <w:t>Настоящий регламент описывает порядок действий оператора при обращениях клиента о спорной (неподтвержденной) операции по банковской карте. Документ предназначен для единообразной, безопасной и проверяемой обработки обращений с минимизацией рисков мошенничества и ошибок коммуникации.</w:t>
      </w:r>
    </w:p>
    <w:p>
      <w:pPr>
        <w:pStyle w:val="ListBullet"/>
      </w:pPr>
      <w:r>
        <w:t>Безопасность данных важнее скорости: не запрашивать и не фиксировать секреты (ПИН, CVV/CVC, одноразовые коды).</w:t>
      </w:r>
    </w:p>
    <w:p>
      <w:pPr>
        <w:pStyle w:val="ListBullet"/>
      </w:pPr>
      <w:r>
        <w:t>Никаких обещаний возврата: результат зависит от проверки и правил платежных систем.</w:t>
      </w:r>
    </w:p>
    <w:p>
      <w:pPr>
        <w:pStyle w:val="ListBullet"/>
      </w:pPr>
      <w:r>
        <w:t>Все значимые действия фиксируются: кейс, шаги, решения, использованные источники (регламенты), аудиторный след.</w:t>
      </w:r>
    </w:p>
    <w:p>
      <w:pPr>
        <w:pStyle w:val="ListBullet"/>
      </w:pPr>
      <w:r>
        <w:t>Оператор действует по скриптам и регламентам; импровизация допускается только в рамках допустимых формулировок.</w:t>
      </w:r>
    </w:p>
    <w:p>
      <w:pPr>
        <w:pStyle w:val="Heading1"/>
      </w:pPr>
      <w:r>
        <w:t>2. Термины и роли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Параметр</w:t>
            </w:r>
          </w:p>
        </w:tc>
        <w:tc>
          <w:tcPr>
            <w:tcW w:type="dxa" w:w="4824"/>
          </w:tcPr>
          <w:p>
            <w:r>
              <w:t>Значение</w:t>
            </w:r>
          </w:p>
        </w:tc>
      </w:tr>
      <w:tr>
        <w:tc>
          <w:tcPr>
            <w:tcW w:type="dxa" w:w="4824"/>
          </w:tcPr>
          <w:p>
            <w:r>
              <w:t>Спорная операция</w:t>
            </w:r>
          </w:p>
        </w:tc>
        <w:tc>
          <w:tcPr>
            <w:tcW w:type="dxa" w:w="4824"/>
          </w:tcPr>
          <w:p>
            <w:r>
              <w:t>Операция, с которой клиент не согласен (не совершал/не узнает/ошибка суммы/дубликат).</w:t>
            </w:r>
          </w:p>
        </w:tc>
      </w:tr>
      <w:tr>
        <w:tc>
          <w:tcPr>
            <w:tcW w:type="dxa" w:w="4824"/>
          </w:tcPr>
          <w:p>
            <w:r>
              <w:t>Оспаривание (dispute/chargeback)</w:t>
            </w:r>
          </w:p>
        </w:tc>
        <w:tc>
          <w:tcPr>
            <w:tcW w:type="dxa" w:w="4824"/>
          </w:tcPr>
          <w:p>
            <w:r>
              <w:t>Процедура рассмотрения спорной операции и возможного возврата средств по правилам платежных систем.</w:t>
            </w:r>
          </w:p>
        </w:tc>
      </w:tr>
      <w:tr>
        <w:tc>
          <w:tcPr>
            <w:tcW w:type="dxa" w:w="4824"/>
          </w:tcPr>
          <w:p>
            <w:r>
              <w:t>Кейс</w:t>
            </w:r>
          </w:p>
        </w:tc>
        <w:tc>
          <w:tcPr>
            <w:tcW w:type="dxa" w:w="4824"/>
          </w:tcPr>
          <w:p>
            <w:r>
              <w:t>Запись обращения в системе банка с идентификатором и статусом.</w:t>
            </w:r>
          </w:p>
        </w:tc>
      </w:tr>
      <w:tr>
        <w:tc>
          <w:tcPr>
            <w:tcW w:type="dxa" w:w="4824"/>
          </w:tcPr>
          <w:p>
            <w:r>
              <w:t>Оператор</w:t>
            </w:r>
          </w:p>
        </w:tc>
        <w:tc>
          <w:tcPr>
            <w:tcW w:type="dxa" w:w="4824"/>
          </w:tcPr>
          <w:p>
            <w:r>
              <w:t>Сотрудник контактного центра, взаимодействующий с клиентом.</w:t>
            </w:r>
          </w:p>
        </w:tc>
      </w:tr>
      <w:tr>
        <w:tc>
          <w:tcPr>
            <w:tcW w:type="dxa" w:w="4824"/>
          </w:tcPr>
          <w:p>
            <w:r>
              <w:t>Антифрод</w:t>
            </w:r>
          </w:p>
        </w:tc>
        <w:tc>
          <w:tcPr>
            <w:tcW w:type="dxa" w:w="4824"/>
          </w:tcPr>
          <w:p>
            <w:r>
              <w:t>Подразделение/система, оценивающая признаки мошенничества и риск.</w:t>
            </w:r>
          </w:p>
        </w:tc>
      </w:tr>
      <w:tr>
        <w:tc>
          <w:tcPr>
            <w:tcW w:type="dxa" w:w="4824"/>
          </w:tcPr>
          <w:p>
            <w:r>
              <w:t>LLM Copilot</w:t>
            </w:r>
          </w:p>
        </w:tc>
        <w:tc>
          <w:tcPr>
            <w:tcW w:type="dxa" w:w="4824"/>
          </w:tcPr>
          <w:p>
            <w:r>
              <w:t>Система подсказок оператору: черновик ответа, карточки, план и предложения инструментов.</w:t>
            </w:r>
          </w:p>
        </w:tc>
      </w:tr>
    </w:tbl>
    <w:p>
      <w:pPr>
        <w:pStyle w:val="Heading1"/>
      </w:pPr>
      <w:r>
        <w:t>3. Входные условия и минимальный набор данных</w:t>
      </w:r>
    </w:p>
    <w:p>
      <w:r>
        <w:t>Оператор обязан собрать минимальный набор данных до регистрации кейса и/или выполнения действий, если это требуется политиками безопасности.</w:t>
      </w:r>
    </w:p>
    <w:p>
      <w:pPr>
        <w:pStyle w:val="Heading2"/>
      </w:pPr>
      <w:r>
        <w:t>3.1. Обязательные уточнения (минимум)</w:t>
      </w:r>
    </w:p>
    <w:p>
      <w:pPr>
        <w:pStyle w:val="ListNumber"/>
      </w:pPr>
      <w:r>
        <w:t>Подтверждение: карта у клиента сейчас (да/нет).</w:t>
      </w:r>
    </w:p>
    <w:p>
      <w:pPr>
        <w:pStyle w:val="ListNumber"/>
      </w:pPr>
      <w:r>
        <w:t>Сумма операции и валюта (по словам клиента).</w:t>
      </w:r>
    </w:p>
    <w:p>
      <w:pPr>
        <w:pStyle w:val="ListNumber"/>
      </w:pPr>
      <w:r>
        <w:t>Дата и примерное время операции (по словам клиента).</w:t>
      </w:r>
    </w:p>
    <w:p>
      <w:pPr>
        <w:pStyle w:val="ListNumber"/>
      </w:pPr>
      <w:r>
        <w:t>Подтверждение: клиент не совершал операцию / не согласен с операцией.</w:t>
      </w:r>
    </w:p>
    <w:p>
      <w:pPr>
        <w:pStyle w:val="ListNumber"/>
      </w:pPr>
      <w:r>
        <w:t>Контактный канал для обратной связи (если требуется процессом).</w:t>
      </w:r>
    </w:p>
    <w:p>
      <w:pPr>
        <w:pStyle w:val="Heading2"/>
      </w:pPr>
      <w:r>
        <w:t>3.2. Дополнительные данные (по ситуации)</w:t>
      </w:r>
    </w:p>
    <w:p>
      <w:pPr>
        <w:pStyle w:val="ListBullet"/>
      </w:pPr>
      <w:r>
        <w:t>Торговая точка/мерчант (если известен).</w:t>
      </w:r>
    </w:p>
    <w:p>
      <w:pPr>
        <w:pStyle w:val="ListBullet"/>
      </w:pPr>
      <w:r>
        <w:t>Тип операции: онлайн/офлайн, снятие наличных, перевод, подписка, бесконтакт.</w:t>
      </w:r>
    </w:p>
    <w:p>
      <w:pPr>
        <w:pStyle w:val="ListBullet"/>
      </w:pPr>
      <w:r>
        <w:t>Были ли ранее попытки урегулирования с мерчантом (если применимо).</w:t>
      </w:r>
    </w:p>
    <w:p>
      <w:pPr>
        <w:pStyle w:val="ListBullet"/>
      </w:pPr>
      <w:r>
        <w:t>Признаки социнжиниринга: удаленный доступ, установка приложений, просьба назвать коды.</w:t>
      </w:r>
    </w:p>
    <w:p>
      <w:pPr>
        <w:pStyle w:val="ListBullet"/>
      </w:pPr>
      <w:r>
        <w:t>Статус карты: утеряна/украдена/при клиенте; есть ли подозрение компрометации.</w:t>
      </w:r>
    </w:p>
    <w:p>
      <w:pPr>
        <w:pStyle w:val="Heading1"/>
      </w:pPr>
      <w:r>
        <w:t>4. Ограничения по безопасности и ПДн</w:t>
      </w:r>
    </w:p>
    <w:p>
      <w:r>
        <w:rPr>
          <w:b/>
        </w:rPr>
        <w:t xml:space="preserve">Запрещено: </w:t>
      </w:r>
    </w:p>
    <w:p>
      <w:r>
        <w:t>Запрашивать или принимать от клиента: ПИН, CVV/CVC, одноразовые коды из SMS/Push, полный номер карты, пароли и коды доступа, данные удаленного доступа (AnyDesk/TeamViewer и аналоги).</w:t>
      </w:r>
    </w:p>
    <w:p>
      <w:r>
        <w:rPr>
          <w:b/>
        </w:rPr>
        <w:t xml:space="preserve">Разрешено: </w:t>
      </w:r>
    </w:p>
    <w:p>
      <w:r>
        <w:t>Запрашивать только необходимые атрибуты: сумма/дата/время/мерчант, подтверждение владения картой, канал операции (если известно), последние 4 цифры карты (по необходимости).</w:t>
      </w:r>
    </w:p>
    <w:p>
      <w:r>
        <w:t>Свободные тексты, отправляемые в LLM, проходят автоматическое маскирование типовых ПДн (телефон, email, номер карты и др.). Однако оператор обязан не вводить лишние ПДн и не дублировать секреты.</w:t>
      </w:r>
    </w:p>
    <w:p>
      <w:pPr>
        <w:pStyle w:val="Heading1"/>
      </w:pPr>
      <w:r>
        <w:t>5. Сценарий обработки (end-to-end)</w:t>
      </w:r>
    </w:p>
    <w:p>
      <w:pPr>
        <w:pStyle w:val="Heading2"/>
      </w:pPr>
      <w:r>
        <w:t>5.1. Шаг 1: первичная коммуникация и сбор данных</w:t>
      </w:r>
    </w:p>
    <w:p>
      <w:pPr>
        <w:pStyle w:val="ListNumber"/>
      </w:pPr>
      <w:r>
        <w:t>Открыть диалог и дать предупреждение о безопасности.</w:t>
      </w:r>
    </w:p>
    <w:p>
      <w:pPr>
        <w:pStyle w:val="ListNumber"/>
      </w:pPr>
      <w:r>
        <w:t>Собрать обязательные уточнения (раздел 3.1).</w:t>
      </w:r>
    </w:p>
    <w:p>
      <w:pPr>
        <w:pStyle w:val="ListNumber"/>
      </w:pPr>
      <w:r>
        <w:t>Зафиксировать краткое резюме обращения (1-2 предложения) для кейса.</w:t>
      </w:r>
    </w:p>
    <w:p>
      <w:pPr>
        <w:pStyle w:val="Heading2"/>
      </w:pPr>
      <w:r>
        <w:t>5.2. Шаг 2: сверка операций (инструмент)</w:t>
      </w:r>
    </w:p>
    <w:p>
      <w:r>
        <w:t>При наличии данных оператор вызывает инструмент 'get_transactions' для сверки операций за период.</w:t>
      </w:r>
    </w:p>
    <w:p>
      <w:pPr>
        <w:pStyle w:val="ListBullet"/>
      </w:pPr>
      <w:r>
        <w:t>Если операция не найдена: уточнить период/сумму/канал, проверить возможные дубликаты и отложенные списания.</w:t>
      </w:r>
    </w:p>
    <w:p>
      <w:pPr>
        <w:pStyle w:val="ListBullet"/>
      </w:pPr>
      <w:r>
        <w:t>Если операция найдена и клиент ее не признает: рассмотреть блокировку карты по подтверждению клиента.</w:t>
      </w:r>
    </w:p>
    <w:p>
      <w:pPr>
        <w:pStyle w:val="Heading2"/>
      </w:pPr>
      <w:r>
        <w:t>5.3. Шаг 3: блокировка карты (инструмент)</w:t>
      </w:r>
    </w:p>
    <w:p>
      <w:pPr>
        <w:pStyle w:val="ListBullet"/>
      </w:pPr>
      <w:r>
        <w:t>Блокировка выполняется только при явном согласии клиента или в сценариях высокого риска по внутренним правилам.</w:t>
      </w:r>
    </w:p>
    <w:p>
      <w:pPr>
        <w:pStyle w:val="ListBullet"/>
      </w:pPr>
      <w:r>
        <w:t>После блокировки сообщить клиенту: что карта заблокирована; как оформить перевыпуск; рекомендации по безопасности.</w:t>
      </w:r>
    </w:p>
    <w:p>
      <w:pPr>
        <w:pStyle w:val="Heading2"/>
      </w:pPr>
      <w:r>
        <w:t>5.4. Шаг 4: регистрация обращения (create_case)</w:t>
      </w:r>
    </w:p>
    <w:p>
      <w:pPr>
        <w:pStyle w:val="ListNumber"/>
      </w:pPr>
      <w:r>
        <w:t>Создать кейс с intent=SuspiciousTransaction и публичным резюме.</w:t>
      </w:r>
    </w:p>
    <w:p>
      <w:pPr>
        <w:pStyle w:val="ListNumber"/>
      </w:pPr>
      <w:r>
        <w:t>Добавить подтвержденные параметры операции и факты (карта у клиента, клиент не совершал).</w:t>
      </w:r>
    </w:p>
    <w:p>
      <w:pPr>
        <w:pStyle w:val="ListNumber"/>
      </w:pPr>
      <w:r>
        <w:t>Сообщить клиенту номер обращения и ориентиры по срокам рассмотрения (без обещаний результата).</w:t>
      </w:r>
    </w:p>
    <w:p>
      <w:pPr>
        <w:pStyle w:val="Heading2"/>
      </w:pPr>
      <w:r>
        <w:t>5.5. Шаг 5: объяснение дальнейших шагов</w:t>
      </w:r>
    </w:p>
    <w:p>
      <w:pPr>
        <w:pStyle w:val="ListBullet"/>
      </w:pPr>
      <w:r>
        <w:t>Подтвердить, что обращение зарегистрировано и будет рассмотрено.</w:t>
      </w:r>
    </w:p>
    <w:p>
      <w:pPr>
        <w:pStyle w:val="ListBullet"/>
      </w:pPr>
      <w:r>
        <w:t>Коротко описать этапы: проверка, запрос доп. информации (если нужно), решение.</w:t>
      </w:r>
    </w:p>
    <w:p>
      <w:pPr>
        <w:pStyle w:val="ListBullet"/>
      </w:pPr>
      <w:r>
        <w:t>Сообщить, где клиент увидит статус и как с ним свяжутся при необходимости.</w:t>
      </w:r>
    </w:p>
    <w:p>
      <w:pPr>
        <w:pStyle w:val="Heading1"/>
      </w:pPr>
      <w:r>
        <w:t>6. SLA, статусы и коммуникация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Параметр</w:t>
            </w:r>
          </w:p>
        </w:tc>
        <w:tc>
          <w:tcPr>
            <w:tcW w:type="dxa" w:w="4824"/>
          </w:tcPr>
          <w:p>
            <w:r>
              <w:t>Значение</w:t>
            </w:r>
          </w:p>
        </w:tc>
      </w:tr>
      <w:tr>
        <w:tc>
          <w:tcPr>
            <w:tcW w:type="dxa" w:w="4824"/>
          </w:tcPr>
          <w:p>
            <w:r>
              <w:t>Статусы кейса</w:t>
            </w:r>
          </w:p>
        </w:tc>
        <w:tc>
          <w:tcPr>
            <w:tcW w:type="dxa" w:w="4824"/>
          </w:tcPr>
          <w:p>
            <w:r>
              <w:t>open -&gt; in_review -&gt; need_info -&gt; resolved (approved/declined)</w:t>
            </w:r>
          </w:p>
        </w:tc>
      </w:tr>
      <w:tr>
        <w:tc>
          <w:tcPr>
            <w:tcW w:type="dxa" w:w="4824"/>
          </w:tcPr>
          <w:p>
            <w:r>
              <w:t>Информирование клиента</w:t>
            </w:r>
          </w:p>
        </w:tc>
        <w:tc>
          <w:tcPr>
            <w:tcW w:type="dxa" w:w="4824"/>
          </w:tcPr>
          <w:p>
            <w:r>
              <w:t>При регистрации и при изменении статуса</w:t>
            </w:r>
          </w:p>
        </w:tc>
      </w:tr>
      <w:tr>
        <w:tc>
          <w:tcPr>
            <w:tcW w:type="dxa" w:w="4824"/>
          </w:tcPr>
          <w:p>
            <w:r>
              <w:t>Сроки (пример)</w:t>
            </w:r>
          </w:p>
        </w:tc>
        <w:tc>
          <w:tcPr>
            <w:tcW w:type="dxa" w:w="4824"/>
          </w:tcPr>
          <w:p>
            <w:r>
              <w:t>Сообщать как диапазон; без гарантий результата</w:t>
            </w:r>
          </w:p>
        </w:tc>
      </w:tr>
      <w:tr>
        <w:tc>
          <w:tcPr>
            <w:tcW w:type="dxa" w:w="4824"/>
          </w:tcPr>
          <w:p>
            <w:r>
              <w:t>Эскалация</w:t>
            </w:r>
          </w:p>
        </w:tc>
        <w:tc>
          <w:tcPr>
            <w:tcW w:type="dxa" w:w="4824"/>
          </w:tcPr>
          <w:p>
            <w:r>
              <w:t>Социнжиниринг/массовые списания/компрометация: антифрод и старший оператор</w:t>
            </w:r>
          </w:p>
        </w:tc>
      </w:tr>
    </w:tbl>
    <w:p>
      <w:pPr>
        <w:pStyle w:val="Heading1"/>
      </w:pPr>
      <w:r>
        <w:t>7. Контроль качества и аудит</w:t>
      </w:r>
    </w:p>
    <w:p>
      <w:pPr>
        <w:pStyle w:val="ListBullet"/>
      </w:pPr>
      <w:r>
        <w:t>В кейсе должны быть: резюме, подтвержденные факты, выбранная ветка сценария, выполненные инструменты.</w:t>
      </w:r>
    </w:p>
    <w:p>
      <w:pPr>
        <w:pStyle w:val="ListBullet"/>
      </w:pPr>
      <w:r>
        <w:t>В аудите: tool_called/tool_result, suggest_created/suggest_ready, pii_redaction и moderation результаты.</w:t>
      </w:r>
    </w:p>
    <w:p>
      <w:pPr>
        <w:pStyle w:val="ListBullet"/>
      </w:pPr>
      <w:r>
        <w:t>Аудит не редактируется; исправления оформляются отдельными событиями/комментариями.</w:t>
      </w:r>
    </w:p>
    <w:p>
      <w:pPr>
        <w:pStyle w:val="Heading1"/>
      </w:pPr>
      <w:r>
        <w:t>8. Приложение A: чеклист оператора (1 минута)</w:t>
      </w:r>
    </w:p>
    <w:p>
      <w:pPr>
        <w:pStyle w:val="ListNumber"/>
      </w:pPr>
      <w:r>
        <w:t>Не запросил секреты (ПИН/CVV/коды).</w:t>
      </w:r>
    </w:p>
    <w:p>
      <w:pPr>
        <w:pStyle w:val="ListNumber"/>
      </w:pPr>
      <w:r>
        <w:t>Собрал: карта у клиента, сумма, время, подтверждение "не я".</w:t>
      </w:r>
    </w:p>
    <w:p>
      <w:pPr>
        <w:pStyle w:val="ListNumber"/>
      </w:pPr>
      <w:r>
        <w:t>Сверил операции (если доступно).</w:t>
      </w:r>
    </w:p>
    <w:p>
      <w:pPr>
        <w:pStyle w:val="ListNumber"/>
      </w:pPr>
      <w:r>
        <w:t>Получил согласие на блокировку (если блокировал).</w:t>
      </w:r>
    </w:p>
    <w:p>
      <w:pPr>
        <w:pStyle w:val="ListNumber"/>
      </w:pPr>
      <w:r>
        <w:t>Создал кейс и сообщил номер.</w:t>
      </w:r>
    </w:p>
    <w:p>
      <w:pPr>
        <w:pStyle w:val="ListNumber"/>
      </w:pPr>
      <w:r>
        <w:t>Не обещал возврат; дал корректные ожидания по срокам.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