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Регламент коммуникации, защиты ПДн и противодействия социнжинирингу</w:t>
      </w:r>
    </w:p>
    <w:p>
      <w:pPr>
        <w:jc w:val="center"/>
      </w:pPr>
      <w:r>
        <w:t>ID: REG-SEC-003    Версия: 1.0    Дата: 2026-02-24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Классификация</w:t>
            </w:r>
          </w:p>
        </w:tc>
        <w:tc>
          <w:tcPr>
            <w:tcW w:type="dxa" w:w="4824"/>
          </w:tcPr>
          <w:p>
            <w:r>
              <w:t>Внутренний</w:t>
            </w:r>
          </w:p>
        </w:tc>
      </w:tr>
      <w:tr>
        <w:tc>
          <w:tcPr>
            <w:tcW w:type="dxa" w:w="4824"/>
          </w:tcPr>
          <w:p>
            <w:r>
              <w:t>Владелец документа</w:t>
            </w:r>
          </w:p>
        </w:tc>
        <w:tc>
          <w:tcPr>
            <w:tcW w:type="dxa" w:w="4824"/>
          </w:tcPr>
          <w:p>
            <w:r>
              <w:t>Руководитель направления поддержки</w:t>
            </w:r>
          </w:p>
        </w:tc>
      </w:tr>
      <w:tr>
        <w:tc>
          <w:tcPr>
            <w:tcW w:type="dxa" w:w="4824"/>
          </w:tcPr>
          <w:p>
            <w:r>
              <w:t>Утверждающий</w:t>
            </w:r>
          </w:p>
        </w:tc>
        <w:tc>
          <w:tcPr>
            <w:tcW w:type="dxa" w:w="4824"/>
          </w:tcPr>
          <w:p>
            <w:r>
              <w:t>Руководитель службы комплаенса</w:t>
            </w:r>
          </w:p>
        </w:tc>
      </w:tr>
      <w:tr>
        <w:tc>
          <w:tcPr>
            <w:tcW w:type="dxa" w:w="4824"/>
          </w:tcPr>
          <w:p>
            <w:r>
              <w:t>Область действия</w:t>
            </w:r>
          </w:p>
        </w:tc>
        <w:tc>
          <w:tcPr>
            <w:tcW w:type="dxa" w:w="4824"/>
          </w:tcPr>
          <w:p>
            <w:r>
              <w:t>Контактный центр / операторские подразделения (карточные продукты)</w:t>
            </w:r>
          </w:p>
        </w:tc>
      </w:tr>
      <w:tr>
        <w:tc>
          <w:tcPr>
            <w:tcW w:type="dxa" w:w="4824"/>
          </w:tcPr>
          <w:p>
            <w:r>
              <w:t>Связанные документы</w:t>
            </w:r>
          </w:p>
        </w:tc>
        <w:tc>
          <w:tcPr>
            <w:tcW w:type="dxa" w:w="4824"/>
          </w:tcPr>
          <w:p>
            <w:r>
              <w:t>Политика ИБ; Политика обработки ПДн; Инструкции по антифроду</w:t>
            </w:r>
          </w:p>
        </w:tc>
      </w:tr>
      <w:tr>
        <w:tc>
          <w:tcPr>
            <w:tcW w:type="dxa" w:w="4824"/>
          </w:tcPr>
          <w:p>
            <w:r>
              <w:t>Срок пересмотра</w:t>
            </w:r>
          </w:p>
        </w:tc>
        <w:tc>
          <w:tcPr>
            <w:tcW w:type="dxa" w:w="4824"/>
          </w:tcPr>
          <w:p>
            <w:r>
              <w:t>Не реже 1 раза в 12 месяцев или при изменениях процессов</w:t>
            </w:r>
          </w:p>
        </w:tc>
      </w:tr>
    </w:tbl>
    <w:p>
      <w:r>
        <w:br w:type="page"/>
      </w:r>
    </w:p>
    <w:p>
      <w:pPr>
        <w:pStyle w:val="Heading1"/>
      </w:pPr>
      <w:r>
        <w:t>1. Цель</w:t>
      </w:r>
    </w:p>
    <w:p>
      <w:r>
        <w:t>Регламент устанавливает правила общения с клиентом, минимизации раскрытия персональных данных и противодействия социальному инжинирингу в сценариях карточных обращений.</w:t>
      </w:r>
    </w:p>
    <w:p>
      <w:pPr>
        <w:pStyle w:val="Heading1"/>
      </w:pPr>
      <w:r>
        <w:t>2. Категории данных и допустимость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Параметр</w:t>
            </w:r>
          </w:p>
        </w:tc>
        <w:tc>
          <w:tcPr>
            <w:tcW w:type="dxa" w:w="4824"/>
          </w:tcPr>
          <w:p>
            <w:r>
              <w:t>Значение</w:t>
            </w:r>
          </w:p>
        </w:tc>
      </w:tr>
      <w:tr>
        <w:tc>
          <w:tcPr>
            <w:tcW w:type="dxa" w:w="4824"/>
          </w:tcPr>
          <w:p>
            <w:r>
              <w:t>Секреты (запрещено запрашивать)</w:t>
            </w:r>
          </w:p>
        </w:tc>
        <w:tc>
          <w:tcPr>
            <w:tcW w:type="dxa" w:w="4824"/>
          </w:tcPr>
          <w:p>
            <w:r>
              <w:t>ПИН, CVV/CVC, одноразовые коды, пароли, полные реквизиты карты.</w:t>
            </w:r>
          </w:p>
        </w:tc>
      </w:tr>
      <w:tr>
        <w:tc>
          <w:tcPr>
            <w:tcW w:type="dxa" w:w="4824"/>
          </w:tcPr>
          <w:p>
            <w:r>
              <w:t>Идентификационные атрибуты (по необходимости)</w:t>
            </w:r>
          </w:p>
        </w:tc>
        <w:tc>
          <w:tcPr>
            <w:tcW w:type="dxa" w:w="4824"/>
          </w:tcPr>
          <w:p>
            <w:r>
              <w:t>Последние 4 цифры карты; частичные данные для идентификации по внутренней процедуре.</w:t>
            </w:r>
          </w:p>
        </w:tc>
      </w:tr>
      <w:tr>
        <w:tc>
          <w:tcPr>
            <w:tcW w:type="dxa" w:w="4824"/>
          </w:tcPr>
          <w:p>
            <w:r>
              <w:t>Данные операции (разрешено)</w:t>
            </w:r>
          </w:p>
        </w:tc>
        <w:tc>
          <w:tcPr>
            <w:tcW w:type="dxa" w:w="4824"/>
          </w:tcPr>
          <w:p>
            <w:r>
              <w:t>Сумма, дата/время, мерчант, канал, подтверждение "не совершал", факт владения картой.</w:t>
            </w:r>
          </w:p>
        </w:tc>
      </w:tr>
      <w:tr>
        <w:tc>
          <w:tcPr>
            <w:tcW w:type="dxa" w:w="4824"/>
          </w:tcPr>
          <w:p>
            <w:r>
              <w:t>Технические данные (ограниченно)</w:t>
            </w:r>
          </w:p>
        </w:tc>
        <w:tc>
          <w:tcPr>
            <w:tcW w:type="dxa" w:w="4824"/>
          </w:tcPr>
          <w:p>
            <w:r>
              <w:t>Только если требуется для диагностики; не собирать лишнее.</w:t>
            </w:r>
          </w:p>
        </w:tc>
      </w:tr>
    </w:tbl>
    <w:p>
      <w:pPr>
        <w:pStyle w:val="Heading1"/>
      </w:pPr>
      <w:r>
        <w:t>3. Стандартное предупреждение по безопасности</w:t>
      </w:r>
    </w:p>
    <w:p>
      <w:r>
        <w:t>В начале каждого сценария по карте оператор обязан сообщить предупреждение. Рекомендованная формулировка:</w:t>
      </w:r>
    </w:p>
    <w:p>
      <w:r>
        <w:t>Банк не запрашивает ПИН-код, CVV/CVC и коды из SMS/Push. Не сообщайте эти данные никому, даже если вам представляются сотрудниками банка.</w:t>
      </w:r>
    </w:p>
    <w:p>
      <w:pPr>
        <w:pStyle w:val="Heading1"/>
      </w:pPr>
      <w:r>
        <w:t>4. Признаки социнжиниринга (красные флаги)</w:t>
      </w:r>
    </w:p>
    <w:p>
      <w:pPr>
        <w:pStyle w:val="ListBullet"/>
      </w:pPr>
      <w:r>
        <w:t>Клиент устанавливал AnyDesk/TeamViewer/удаленный доступ по просьбе "службы безопасности".</w:t>
      </w:r>
    </w:p>
    <w:p>
      <w:pPr>
        <w:pStyle w:val="ListBullet"/>
      </w:pPr>
      <w:r>
        <w:t>Клиент передавал коды из SMS/Push, реквизиты, пароли.</w:t>
      </w:r>
    </w:p>
    <w:p>
      <w:pPr>
        <w:pStyle w:val="ListBullet"/>
      </w:pPr>
      <w:r>
        <w:t>Клиент переводил средства "на безопасный счет".</w:t>
      </w:r>
    </w:p>
    <w:p>
      <w:pPr>
        <w:pStyle w:val="ListBullet"/>
      </w:pPr>
      <w:r>
        <w:t>Звонили с подменных номеров и требовали срочно действовать.</w:t>
      </w:r>
    </w:p>
    <w:p>
      <w:pPr>
        <w:pStyle w:val="Heading1"/>
      </w:pPr>
      <w:r>
        <w:t>5. Действия оператора при красных флагах</w:t>
      </w:r>
    </w:p>
    <w:p>
      <w:pPr>
        <w:pStyle w:val="ListNumber"/>
      </w:pPr>
      <w:r>
        <w:t>Прекратить любые запросы данных, кроме необходимых для фиксации обращения.</w:t>
      </w:r>
    </w:p>
    <w:p>
      <w:pPr>
        <w:pStyle w:val="ListNumber"/>
      </w:pPr>
      <w:r>
        <w:t>Рекомендовать: прекратить удаленный доступ, удалить ПО, сменить пароли, проверить устройство.</w:t>
      </w:r>
    </w:p>
    <w:p>
      <w:pPr>
        <w:pStyle w:val="ListNumber"/>
      </w:pPr>
      <w:r>
        <w:t>При согласии - заблокировать карту; при высоком риске - эскалация в антифрод.</w:t>
      </w:r>
    </w:p>
    <w:p>
      <w:pPr>
        <w:pStyle w:val="ListNumber"/>
      </w:pPr>
      <w:r>
        <w:t>Создать кейс и отметить "подозрение на социнжиниринг" в notes.</w:t>
      </w:r>
    </w:p>
    <w:p>
      <w:pPr>
        <w:pStyle w:val="ListNumber"/>
      </w:pPr>
      <w:r>
        <w:t>Никогда не просить клиента назвать коды/секреты для "проверки".</w:t>
      </w:r>
    </w:p>
    <w:p>
      <w:pPr>
        <w:pStyle w:val="Heading1"/>
      </w:pPr>
      <w:r>
        <w:t>6. Контроль передачи данных в LLM</w:t>
      </w:r>
    </w:p>
    <w:p>
      <w:r>
        <w:t>LLM Copilot не должен получать избыточные ПДн. Система выполняет маскирование типовых шаблонов и логирует результаты. Ответственность за ввод лишних данных лежит на операторе.</w:t>
      </w:r>
    </w:p>
    <w:p>
      <w:pPr>
        <w:pStyle w:val="ListBullet"/>
      </w:pPr>
      <w:r>
        <w:t>Не вставлять полные реквизиты карты, документы, адреса.</w:t>
      </w:r>
    </w:p>
    <w:p>
      <w:pPr>
        <w:pStyle w:val="ListBullet"/>
      </w:pPr>
      <w:r>
        <w:t>Использовать переменные: {LAST4}, {AMOUNT}, {DATE_TIME}, {CASE_ID}.</w:t>
      </w:r>
    </w:p>
    <w:p>
      <w:pPr>
        <w:pStyle w:val="ListBullet"/>
      </w:pPr>
      <w:r>
        <w:t>При ссылке на документ использовать источники RAG (ID/ссылка), а не копировать документ целиком.</w:t>
      </w:r>
    </w:p>
    <w:p>
      <w:pPr>
        <w:pStyle w:val="Heading1"/>
      </w:pPr>
      <w:r>
        <w:t>7. Стандарты качества коммуникации</w:t>
      </w:r>
    </w:p>
    <w:p>
      <w:pPr>
        <w:pStyle w:val="ListBullet"/>
      </w:pPr>
      <w:r>
        <w:t>Короткие фразы, без обещаний результата.</w:t>
      </w:r>
    </w:p>
    <w:p>
      <w:pPr>
        <w:pStyle w:val="ListBullet"/>
      </w:pPr>
      <w:r>
        <w:t>Подтверждать действия только после tool_result.</w:t>
      </w:r>
    </w:p>
    <w:p>
      <w:pPr>
        <w:pStyle w:val="ListBullet"/>
      </w:pPr>
      <w:r>
        <w:t>Всегда описывать следующий шаг и ожидания.</w:t>
      </w:r>
    </w:p>
    <w:p>
      <w:pPr>
        <w:pStyle w:val="ListBullet"/>
      </w:pPr>
      <w:r>
        <w:t>При неопределенности - задавать уточняющие вопросы по скрипту.</w:t>
      </w:r>
    </w:p>
    <w:p>
      <w:pPr>
        <w:pStyle w:val="Heading1"/>
      </w:pPr>
      <w:r>
        <w:t>8. Приложение A: шаблон эскалации</w:t>
      </w:r>
    </w:p>
    <w:p>
      <w:r>
        <w:t>Эскалация: подозрение на социнжиниринг. Клиент сообщил: {DETAILS}. Рекомендации даны. Карта заблокирована: {REF_ID or "нет"}. Кейс: {CASE_ID}.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