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Регламент обработки подписок, регулярных списаний и merchant-dispute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ID: REG-SUB-006    Версия: 1.0    Дата: 2026-03-16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Классификация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Внутренний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Владелец документа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направления поддержки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Утверждающий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Руководитель службы комплаенса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Область действия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Контактный центр / операторские подразделения (карточные продукты)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Связанные документы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Политика ИБ; Политика обработки ПДн; Инструкции по антифроду</w:t>
      </w:r>
    </w:p>
    <w:p>
      <w:pPr>
        <w:spacing w:before="80" w:after="40"/>
      </w:pPr>
      <w:r>
        <w:rPr>
          <w:rFonts w:ascii="Times New Roman" w:hAnsi="Times New Roman"/>
          <w:b/>
          <w:sz w:val="24"/>
        </w:rPr>
        <w:t>Срок пересмотра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 реже 1 раза в 12 месяцев или при изменениях процессов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1. Назначение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Документ описывает обращения, где клиент спорит не с неизвестным списанием, а с подпиской, регулярным платежом или спором по мерчанту.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Такие кейсы нельзя автоматически трактовать как мошенничество.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2. Когда использовать этот сценарий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Клиент узнает мерчанта, но не согласен со списанием.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Есть регулярные списания по подписке, которую клиент забыл отменить.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Клиент не получил услугу/товар, но платеж подтверждал ранее.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3. Что уточнить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Название сервиса или мерчанта.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Регулярность списаний и дата последнего известного согласия.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Пытался ли клиент отключить подписку или связаться с мерчантом.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4. Правила обработки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мерчант узнается и спор связан с условиями сервиса, сначала объяснить клиенту разницу между fraud/dispute и merchant dispute.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Если клиент не узнает мерчанта вовсе, вернуться в сценарий suspicious transaction.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Блокировка карты не предлагается автоматически, если риск связан с подпиской, а не с компрометацией.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5. Что должен предложить Copilot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Короткий вопрос о том, узнает ли клиент сервис и пробовал ли отменить подписку.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Черновик объяснения без обещания возврата.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При наличии оснований - create_case с заметкой о recurring payment или merchant dispute.</w:t>
      </w:r>
    </w:p>
    <w:p>
      <w:pPr>
        <w:spacing w:before="160" w:after="60"/>
      </w:pPr>
      <w:r>
        <w:rPr>
          <w:rFonts w:ascii="Times New Roman" w:hAnsi="Times New Roman"/>
          <w:b/>
          <w:sz w:val="25"/>
        </w:rPr>
        <w:t>6. Запрещенные обещания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говорить, что банк отменит подписку у мерчанта.</w:t>
      </w:r>
    </w:p>
    <w:p>
      <w:pPr>
        <w:spacing w:after="120" w:line="276" w:lineRule="auto"/>
      </w:pPr>
      <w:r>
        <w:rPr>
          <w:rFonts w:ascii="Times New Roman" w:hAnsi="Times New Roman"/>
          <w:b w:val="0"/>
          <w:sz w:val="24"/>
        </w:rPr>
        <w:t>Нельзя обещать возврат только потому, что клиент "забыл" о подписке.</w:t>
      </w:r>
    </w:p>
    <w:sectPr w:rsidR="00FC693F" w:rsidRPr="0006063C" w:rsidSect="00034616">
      <w:pgSz w:w="12240" w:h="15840"/>
      <w:pgMar w:top="1120" w:right="960" w:bottom="96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