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11.30am: check 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Lunch at rokkasen 1230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Shinjuku Gyoen National Garden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BICQLO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Matsumoto Kiyoshi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Dinner @ TENKA ZUSHI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700 wake up go tsukiji market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Breakfast at tsukiji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11am go Ueno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park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12pm asakusa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Suzukien matcha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Denboin Garden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Nakamise shopping street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Benitsuru pancake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4pm go back ikkebukuro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Gyukatsu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2"/>
          <w:szCs w:val="22"/>
          <w:rtl w:val="0"/>
        </w:rPr>
        <w:t xml:space="preserve">Manmaru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2"/>
          <w:szCs w:val="22"/>
          <w:rtl w:val="0"/>
        </w:rPr>
        <w:t xml:space="preserve">Mutekiya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9pm go harajuku takeshita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Shop at daiso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12 noon eat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2"/>
          <w:szCs w:val="22"/>
          <w:rtl w:val="0"/>
        </w:rPr>
        <w:t xml:space="preserve">Fūunji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Gyukatsu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sz w:val="22"/>
          <w:szCs w:val="22"/>
          <w:rtl w:val="0"/>
        </w:rPr>
        <w:t xml:space="preserve">Roast Beef Ohno Harajuku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Shop at Mega Don Quijote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Shibuya 109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Cafe </w:t>
      </w:r>
      <w:r w:rsidDel="00000000" w:rsidR="00000000" w:rsidRPr="00000000">
        <w:rPr>
          <w:rtl w:val="0"/>
        </w:rPr>
        <w:t xml:space="preserve">Blue Bottle Coffee - Shibuya Cafe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