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Paper: Community Gardens and Urban Belonging</w:t>
      </w:r>
    </w:p>
    <w:p>
      <w:pPr>
        <w:spacing w:after="160"/>
      </w:pPr>
      <w:r>
        <w:t>Student: Elena Morris Course: SOC204 Urban Communities Submission date: 2026-07-06 18:05</w:t>
      </w:r>
    </w:p>
    <w:p>
      <w:pPr>
        <w:pStyle w:val="Heading2"/>
      </w:pPr>
      <w:r>
        <w:t>Introduction</w:t>
      </w:r>
    </w:p>
    <w:p>
      <w:pPr>
        <w:spacing w:after="160"/>
      </w:pPr>
      <w:r>
        <w:t>Community gardens are often described as small environmental projects, but they also shape social relationships. In dense cities, shared growing spaces can create repeated contact among residents who might otherwise remain strangers. This paper argues that community gardens support urban belonging by combining practical cooperation with informal social interaction.</w:t>
      </w:r>
    </w:p>
    <w:p>
      <w:pPr>
        <w:pStyle w:val="Heading2"/>
      </w:pPr>
      <w:r>
        <w:t>Shared Work</w:t>
      </w:r>
    </w:p>
    <w:p>
      <w:pPr>
        <w:spacing w:after="160"/>
      </w:pPr>
      <w:r>
        <w:t>Gardening requires repeated tasks such as watering, composting, repairing beds, and planning seasonal planting. These tasks create opportunities for conversation and trust. Unlike a one-time community event, a garden gives residents a reason to return. The repeated nature of the work makes social connection more likely.</w:t>
      </w:r>
    </w:p>
    <w:p>
      <w:pPr>
        <w:pStyle w:val="Heading2"/>
      </w:pPr>
      <w:r>
        <w:t>Limits of Belonging</w:t>
      </w:r>
    </w:p>
    <w:p>
      <w:pPr>
        <w:spacing w:after="160"/>
      </w:pPr>
      <w:r>
        <w:t>Community gardens do not automatically include everyone. Some gardens require membership fees, volunteer hours, or knowledge of local networks. These barriers can limit participation for renters, shift workers, or new migrants. For this reason, gardens should be understood as potential sites of belonging rather than guaranteed solutions.</w:t>
      </w:r>
    </w:p>
    <w:p>
      <w:pPr>
        <w:pStyle w:val="Heading2"/>
      </w:pPr>
      <w:r>
        <w:t>Conclusion</w:t>
      </w:r>
    </w:p>
    <w:p>
      <w:pPr>
        <w:spacing w:after="160"/>
      </w:pPr>
      <w:r>
        <w:t>Community gardens matter because they connect environmental activity with everyday social contact. Their value depends on inclusive rules, accessible schedules, and support for new participants. When these conditions are present, a small urban garden can become part of a wider social infrastructure.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Paper Community Gardens</dc:title>
  <dc:subject/>
  <dc:creator>StudyTrace Mock Data</dc:creator>
  <cp:keywords/>
  <dc:description>generated by python-docx</dc:description>
  <cp:lastModifiedBy/>
  <cp:revision>1</cp:revision>
  <dcterms:created xsi:type="dcterms:W3CDTF">2013-12-23T23:15:00Z</dcterms:created>
  <dcterms:modified xsi:type="dcterms:W3CDTF">2013-12-23T23:15:00Z</dcterms:modified>
  <cp:category/>
</cp:coreProperties>
</file>