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Excerpts</w:t>
      </w:r>
    </w:p>
    <w:p>
      <w:pPr>
        <w:pStyle w:val="Heading2"/>
      </w:pPr>
      <w:r>
        <w:t>Reed and Alvi 2023</w:t>
      </w:r>
    </w:p>
    <w:p>
      <w:pPr>
        <w:spacing w:after="160"/>
      </w:pPr>
      <w:r>
        <w:t>Excerpt summary: Repeated encounters in shared spaces can create weak social ties that support belonging.</w:t>
      </w:r>
    </w:p>
    <w:p>
      <w:pPr>
        <w:spacing w:after="160"/>
      </w:pPr>
      <w:r>
        <w:t>Used in final paper: Shared Work section, paragraph 1.</w:t>
      </w:r>
    </w:p>
    <w:p>
      <w:pPr>
        <w:pStyle w:val="Heading2"/>
      </w:pPr>
      <w:r>
        <w:t>Tan 2021</w:t>
      </w:r>
    </w:p>
    <w:p>
      <w:pPr>
        <w:spacing w:after="160"/>
      </w:pPr>
      <w:r>
        <w:t>Excerpt summary: Neighbourhood belonging depends on repeated interaction, not only physical proximity.</w:t>
      </w:r>
    </w:p>
    <w:p>
      <w:pPr>
        <w:spacing w:after="160"/>
      </w:pPr>
      <w:r>
        <w:t>Used in final paper: Introduction and conclusion.</w:t>
      </w:r>
    </w:p>
    <w:p>
      <w:pPr>
        <w:pStyle w:val="Heading2"/>
      </w:pPr>
      <w:r>
        <w:t>City Food Commons Project 2025</w:t>
      </w:r>
    </w:p>
    <w:p>
      <w:pPr>
        <w:spacing w:after="160"/>
      </w:pPr>
      <w:r>
        <w:t>Excerpt summary: Participation barriers include volunteer-hour requirements and informal knowledge of local garden networks.</w:t>
      </w:r>
    </w:p>
    <w:p>
      <w:pPr>
        <w:spacing w:after="160"/>
      </w:pPr>
      <w:r>
        <w:t>Used in final paper: Limits of Belonging section.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Excerpts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