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Paper: Climate Communication and Public Trust</w:t>
      </w:r>
    </w:p>
    <w:p>
      <w:pPr>
        <w:spacing w:after="160"/>
      </w:pPr>
      <w:r>
        <w:t>Student: Grace Lin Course: COMM211 Public Communication Submission date: 2026-07-05 16:20</w:t>
      </w:r>
    </w:p>
    <w:p>
      <w:pPr>
        <w:pStyle w:val="Heading2"/>
      </w:pPr>
      <w:r>
        <w:t>Introduction</w:t>
      </w:r>
    </w:p>
    <w:p>
      <w:pPr>
        <w:spacing w:after="160"/>
      </w:pPr>
      <w:r>
        <w:t>Climate communication depends not only on scientific accuracy but also on public trust. When institutions communicate uncertainty clearly, audiences are more likely to understand why recommendations change over time. This paper argues that climate messages should combine evidence, transparency, and practical examples.</w:t>
      </w:r>
    </w:p>
    <w:p>
      <w:pPr>
        <w:pStyle w:val="Heading2"/>
      </w:pPr>
      <w:r>
        <w:t>Trust and Uncertainty</w:t>
      </w:r>
    </w:p>
    <w:p>
      <w:pPr>
        <w:spacing w:after="160"/>
      </w:pPr>
      <w:r>
        <w:t>Public trust can decrease when communication sounds too certain and later changes. A more effective approach is to explain what is known, what remains uncertain, and why experts update advice. This approach is supported by studies of public communication during environmental crises.</w:t>
      </w:r>
    </w:p>
    <w:p>
      <w:pPr>
        <w:pStyle w:val="Heading2"/>
      </w:pPr>
      <w:r>
        <w:t>Practical Examples</w:t>
      </w:r>
    </w:p>
    <w:p>
      <w:pPr>
        <w:spacing w:after="160"/>
      </w:pPr>
      <w:r>
        <w:t>Local examples can make climate information easier to understand. For instance, heatwave guidance can connect temperature forecasts with public transport, housing, and workplace safety. A cited report by "Green and Taylor 2020" argues that local framing improves engagement, but I need to verify the exact publication year and page number.</w:t>
      </w:r>
    </w:p>
    <w:p>
      <w:pPr>
        <w:pStyle w:val="Heading2"/>
      </w:pPr>
      <w:r>
        <w:t>Conclusion</w:t>
      </w:r>
    </w:p>
    <w:p>
      <w:pPr>
        <w:spacing w:after="160"/>
      </w:pPr>
      <w:r>
        <w:t>Climate communication should be accurate, transparent, and locally relevant. Trust is strengthened when communicators show both evidence and limits.</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Paper Climate Communication</dc:title>
  <dc:subject/>
  <dc:creator>StudyTrace Mock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