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gsc-dp-硕士论文第三章正式实验协议-v1.0"/>
    <w:p>
      <w:pPr>
        <w:pStyle w:val="Heading1"/>
      </w:pPr>
      <w:r>
        <w:t xml:space="preserve">GSC-DP 硕士论文第三章：正式实验协议 v1.0</w:t>
      </w:r>
    </w:p>
    <w:p>
      <w:pPr>
        <w:pStyle w:val="BlockText"/>
      </w:pPr>
      <w:r>
        <w:t xml:space="preserve">协议性质：实验实施规范（不是已获得的结果）。制定日期：2026-10-13。主方法为原版 CNN Diffusion Policy 上的 GSA + 深度关联 TokenLearner。训练、评测均运行在实际可用的 H200 服务器上。每个 Benchmark 采用其自身可复现的研究惯例；</w:t>
      </w:r>
      <w:r>
        <w:rPr>
          <w:b/>
          <w:bCs/>
        </w:rPr>
        <w:t xml:space="preserve">同一任务内所有方法必须接受相同的示范与闭环评测设置</w:t>
      </w:r>
      <w:r>
        <w:t xml:space="preserve">。有关官方已发布的参数与本文自行选择的参数，在下文逐项标识。</w:t>
      </w:r>
    </w:p>
    <w:bookmarkStart w:id="20" w:name="固定研究问题与任务"/>
    <w:p>
      <w:pPr>
        <w:pStyle w:val="Heading2"/>
      </w:pPr>
      <w:r>
        <w:t xml:space="preserve">1. 固定研究问题与任务</w:t>
      </w:r>
    </w:p>
    <w:p>
      <w:pPr>
        <w:pStyle w:val="FirstParagraph"/>
      </w:pPr>
      <w:r>
        <w:t xml:space="preserve">研究问题 RQ1：加入真实 RGB-D 几何信息，相对 RGB CNN-DP 是否改善闭环操作成功率？</w:t>
      </w:r>
    </w:p>
    <w:p>
      <w:pPr>
        <w:pStyle w:val="BodyText"/>
      </w:pPr>
      <w:r>
        <w:t xml:space="preserve">RQ2：相对于直接拼接 RGB-D、普通注意力和更大的 CNN，GSA 的显式深度几何先验是否有独立增益？</w:t>
      </w:r>
    </w:p>
    <w:p>
      <w:pPr>
        <w:pStyle w:val="BodyText"/>
      </w:pPr>
      <w:r>
        <w:t xml:space="preserve">RQ3：加入局部加权位置、绝对深度和深度有效性的 Token 是否有独立增益？GSA 与 Token 模块是否存在正交互？</w:t>
      </w:r>
    </w:p>
    <w:p>
      <w:pPr>
        <w:pStyle w:val="BodyText"/>
      </w:pPr>
      <w:r>
        <w:t xml:space="preserve">RQ4：该收益是否转化为更准确的物体—目标相对位姿、更小的操作阶段误差和可接受的规划开销？</w:t>
      </w:r>
    </w:p>
    <w:p>
      <w:pPr>
        <w:pStyle w:val="BodyText"/>
      </w:pPr>
      <w:r>
        <w:t xml:space="preserve">正式任务集：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188"/>
        <w:gridCol w:w="1584"/>
        <w:gridCol w:w="1188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Benchmark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Task ID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主训练示范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操作类型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Episode horizon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官方依据及性质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MimicGen Core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8"/>
              </w:rPr>
              <w:t xml:space="preserve">stack_three_d1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200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多物体堆叠、空间区分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400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MimicGen 官方任务；200 demos 为 IJRR 2026 对比论文的数据量档位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MimicGen Core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8"/>
              </w:rPr>
              <w:t xml:space="preserve">threading_d2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200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针/支架对准与穿入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400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MimicGen Core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8"/>
              </w:rPr>
              <w:t xml:space="preserve">coffee_d2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200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多阶段操作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400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ManiSkill 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8"/>
              </w:rPr>
              <w:t xml:space="preserve">StackCube-v1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100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抓取与堆叠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200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官方视觉 DP</w:t>
            </w:r>
            <w:r>
              <w:rPr>
                <w:rFonts w:ascii="Noto Serif CJK SC" w:hAnsi="Noto Serif CJK SC" w:eastAsia="Noto Serif CJK SC"/>
                <w:sz w:val="18"/>
              </w:rPr>
              <w:t xml:space="preserve"> </w:t>
            </w:r>
            <w:r>
              <w:rPr>
                <w:rStyle w:val="VerbatimChar"/>
                <w:rFonts w:ascii="Noto Serif CJK SC" w:hAnsi="Noto Serif CJK SC" w:eastAsia="Noto Serif CJK SC"/>
                <w:sz w:val="18"/>
              </w:rPr>
              <w:t xml:space="preserve">baselines.sh</w:t>
            </w:r>
            <w:r>
              <w:rPr>
                <w:rFonts w:ascii="Noto Serif CJK SC" w:hAnsi="Noto Serif CJK SC" w:eastAsia="Noto Serif CJK SC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sz w:val="18"/>
              </w:rPr>
              <w:t xml:space="preserve">明确含此任务，100 demos / horizon 200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ManiSkill 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8"/>
              </w:rPr>
              <w:t xml:space="preserve">PegInsertionSide-v1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100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精细插入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300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官方状态 DP 与视觉 ACT 含此任务；视觉 CNN-DP 总更新数为本文参照制定</w:t>
            </w:r>
          </w:p>
        </w:tc>
      </w:tr>
    </w:tbl>
    <w:p>
      <w:pPr>
        <w:pStyle w:val="BodyText"/>
      </w:pPr>
      <w:r>
        <w:t xml:space="preserve">MimicGen 的 400 步来自官方注册的 evaluation horizon；在没有确认具体数据版本环境元数据之前，禁止自行覆盖成 500/700 步。ManiSkill 的 200、300 是其官方 DP/ACT baseline 推荐的</w:t>
      </w:r>
      <w:r>
        <w:t xml:space="preserve"> </w:t>
      </w:r>
      <w:r>
        <w:rPr>
          <w:rStyle w:val="VerbatimChar"/>
        </w:rPr>
        <w:t xml:space="preserve">max_episode_steps</w:t>
      </w:r>
      <w:r>
        <w:t xml:space="preserve">。训练动作控制模式、采集后端与观测相机以下载示范的实际元数据为准，确认后锁定并记录。</w:t>
      </w:r>
    </w:p>
    <w:bookmarkEnd w:id="20"/>
    <w:bookmarkStart w:id="21" w:name="固定训练与周期性闭环评测"/>
    <w:p>
      <w:pPr>
        <w:pStyle w:val="Heading2"/>
      </w:pPr>
      <w:r>
        <w:t xml:space="preserve">2. 固定训练与周期性闭环评测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1218"/>
        <w:gridCol w:w="1218"/>
        <w:gridCol w:w="1218"/>
        <w:gridCol w:w="1218"/>
        <w:gridCol w:w="913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Benchmark / Task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训练长度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保存 checkpoint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从磁盘 checkpoint 启动的 rollout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单 checkpoint episodes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保存点评测数/训练种子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来源说明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MimicGen Stack Three D1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250 epochs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每</w:t>
            </w:r>
            <w:r>
              <w:rPr>
                <w:rFonts w:ascii="Noto Serif CJK SC" w:hAnsi="Noto Serif CJK SC" w:eastAsia="Noto Serif CJK SC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5 epoch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每</w:t>
            </w:r>
            <w:r>
              <w:rPr>
                <w:rFonts w:ascii="Noto Serif CJK SC" w:hAnsi="Noto Serif CJK SC" w:eastAsia="Noto Serif CJK SC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5 epoch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50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50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250/5 源于 IJRR 2026；50 episodes 是本文固定值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MimicGen Threading D2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250 epochs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每</w:t>
            </w:r>
            <w:r>
              <w:rPr>
                <w:rFonts w:ascii="Noto Serif CJK SC" w:hAnsi="Noto Serif CJK SC" w:eastAsia="Noto Serif CJK SC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5 epoch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每</w:t>
            </w:r>
            <w:r>
              <w:rPr>
                <w:rFonts w:ascii="Noto Serif CJK SC" w:hAnsi="Noto Serif CJK SC" w:eastAsia="Noto Serif CJK SC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5 epoch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50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50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MimicGen Coffee D2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250 epochs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每</w:t>
            </w:r>
            <w:r>
              <w:rPr>
                <w:rFonts w:ascii="Noto Serif CJK SC" w:hAnsi="Noto Serif CJK SC" w:eastAsia="Noto Serif CJK SC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5 epoch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每</w:t>
            </w:r>
            <w:r>
              <w:rPr>
                <w:rFonts w:ascii="Noto Serif CJK SC" w:hAnsi="Noto Serif CJK SC" w:eastAsia="Noto Serif CJK SC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5 epoch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50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50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ManiSkill StackCube-v1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100,000 optimizer updates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每</w:t>
            </w:r>
            <w:r>
              <w:rPr>
                <w:rFonts w:ascii="Noto Serif CJK SC" w:hAnsi="Noto Serif CJK SC" w:eastAsia="Noto Serif CJK SC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5,000 updates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每</w:t>
            </w:r>
            <w:r>
              <w:rPr>
                <w:rFonts w:ascii="Noto Serif CJK SC" w:hAnsi="Noto Serif CJK SC" w:eastAsia="Noto Serif CJK SC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5,000 updates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100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20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官方视觉 DP</w:t>
            </w:r>
            <w:r>
              <w:rPr>
                <w:rFonts w:ascii="Noto Serif CJK SC" w:hAnsi="Noto Serif CJK SC" w:eastAsia="Noto Serif CJK SC"/>
                <w:sz w:val="18"/>
              </w:rPr>
              <w:t xml:space="preserve"> </w:t>
            </w:r>
            <w:r>
              <w:rPr>
                <w:rStyle w:val="VerbatimChar"/>
                <w:rFonts w:ascii="Noto Serif CJK SC" w:hAnsi="Noto Serif CJK SC" w:eastAsia="Noto Serif CJK SC"/>
                <w:sz w:val="18"/>
              </w:rPr>
              <w:t xml:space="preserve">baselines.sh</w:t>
            </w:r>
            <w:r>
              <w:rPr>
                <w:rFonts w:ascii="Noto Serif CJK SC" w:hAnsi="Noto Serif CJK SC" w:eastAsia="Noto Serif CJK SC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sz w:val="18"/>
              </w:rPr>
              <w:t xml:space="preserve">与</w:t>
            </w:r>
            <w:r>
              <w:rPr>
                <w:rFonts w:ascii="Noto Serif CJK SC" w:hAnsi="Noto Serif CJK SC" w:eastAsia="Noto Serif CJK SC"/>
                <w:sz w:val="18"/>
              </w:rPr>
              <w:t xml:space="preserve"> </w:t>
            </w:r>
            <w:r>
              <w:rPr>
                <w:rStyle w:val="VerbatimChar"/>
                <w:rFonts w:ascii="Noto Serif CJK SC" w:hAnsi="Noto Serif CJK SC" w:eastAsia="Noto Serif CJK SC"/>
                <w:sz w:val="18"/>
              </w:rPr>
              <w:t xml:space="preserve">train_rgbd.py</w:t>
            </w:r>
            <w:r>
              <w:rPr>
                <w:rFonts w:ascii="Noto Serif CJK SC" w:hAnsi="Noto Serif CJK SC" w:eastAsia="Noto Serif CJK SC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sz w:val="18"/>
              </w:rPr>
              <w:t xml:space="preserve">默认评测参数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ManiSkill PegInsertionSide-v1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100,000 optimizer updates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每</w:t>
            </w:r>
            <w:r>
              <w:rPr>
                <w:rFonts w:ascii="Noto Serif CJK SC" w:hAnsi="Noto Serif CJK SC" w:eastAsia="Noto Serif CJK SC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5,000 updates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每</w:t>
            </w:r>
            <w:r>
              <w:rPr>
                <w:rFonts w:ascii="Noto Serif CJK SC" w:hAnsi="Noto Serif CJK SC" w:eastAsia="Noto Serif CJK SC"/>
                <w:sz w:val="18"/>
              </w:rPr>
              <w:t xml:space="preserve"> </w:t>
            </w: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5,000 updates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100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Noto Serif CJK SC" w:hAnsi="Noto Serif CJK SC" w:eastAsia="Noto Serif CJK SC"/>
                <w:sz w:val="18"/>
              </w:rPr>
              <w:t xml:space="preserve">20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100k 参照官方状态 DP/视觉 ACT；5k/100 参照官方视觉 DP 通用参数，</w:t>
            </w:r>
            <w:r>
              <w:rPr>
                <w:rFonts w:ascii="Noto Serif CJK SC" w:hAnsi="Noto Serif CJK SC" w:eastAsia="Noto Serif CJK SC"/>
                <w:b/>
                <w:bCs/>
                <w:sz w:val="18"/>
              </w:rPr>
              <w:t xml:space="preserve">非官方已调优视觉 DP 配置</w:t>
            </w:r>
          </w:p>
        </w:tc>
      </w:tr>
    </w:tbl>
    <w:p>
      <w:pPr>
        <w:pStyle w:val="BodyText"/>
      </w:pPr>
      <w:r>
        <w:t xml:space="preserve">MimicGen 的 2026 IJRR 参考实验：训练</w:t>
      </w:r>
      <w:r>
        <w:t xml:space="preserve"> </w:t>
      </w:r>
      <w:r>
        <w:rPr>
          <w:rStyle w:val="VerbatimChar"/>
        </w:rPr>
        <w:t xml:space="preserve">50000/N_demo</w:t>
      </w:r>
      <w:r>
        <w:t xml:space="preserve"> </w:t>
      </w:r>
      <w:r>
        <w:t xml:space="preserve">epochs，每</w:t>
      </w:r>
      <w:r>
        <w:t xml:space="preserve"> </w:t>
      </w:r>
      <w:r>
        <w:rPr>
          <w:rStyle w:val="VerbatimChar"/>
        </w:rPr>
        <w:t xml:space="preserve">1000/N_demo</w:t>
      </w:r>
      <w:r>
        <w:t xml:space="preserve"> </w:t>
      </w:r>
      <w:r>
        <w:t xml:space="preserve">epochs 评测一次，总计 50 个评测点；200 demos 时得到上表的 250 与 5。该论文采用观察历史 2、预测动作长度 16、执行 8、DDPM 去噪 100 步、AdamW lr=1e-4、warmup 500、EMA；本章 CNN-DP 家族优先沿用这些固定配置并通过实际 YAML 固化。</w:t>
      </w:r>
      <w:r>
        <w:rPr>
          <w:b/>
          <w:bCs/>
        </w:rPr>
        <w:t xml:space="preserve">50 episodes 是本章预注册的统一取值，不冒称参考论文的原文数值。</w:t>
      </w:r>
    </w:p>
    <w:p>
      <w:pPr>
        <w:pStyle w:val="BodyText"/>
      </w:pPr>
      <w:r>
        <w:t xml:space="preserve">ManiSkill 官方 RGB 基线使用 100k updates 的 StackCube、</w:t>
      </w:r>
      <w:r>
        <w:rPr>
          <w:rStyle w:val="VerbatimChar"/>
        </w:rPr>
        <w:t xml:space="preserve">eval_freq=5000</w:t>
      </w:r>
      <w:r>
        <w:t xml:space="preserve">、</w:t>
      </w:r>
      <w:r>
        <w:rPr>
          <w:rStyle w:val="VerbatimChar"/>
        </w:rPr>
        <w:t xml:space="preserve">num_eval_episodes=100</w:t>
      </w:r>
      <w:r>
        <w:t xml:space="preserve">；PegInsertion 视觉 ACT 也提供 100k 配置。ManiSkill 的 100k 不称为 epoch。建议观测 128×128，但必须核对实际版本脚本及任务相机视角，并且</w:t>
      </w:r>
      <w:r>
        <w:rPr>
          <w:b/>
          <w:bCs/>
        </w:rPr>
        <w:t xml:space="preserve">同一 ManiSkill 任务的所有图像策略使用同一相机集合、分辨率和信息可见性</w:t>
      </w:r>
      <w:r>
        <w:t xml:space="preserve">。</w:t>
      </w:r>
    </w:p>
    <w:p>
      <w:pPr>
        <w:pStyle w:val="BodyText"/>
      </w:pPr>
      <w:r>
        <w:t xml:space="preserve">三个训练种子：</w:t>
      </w:r>
      <w:r>
        <w:rPr>
          <w:rStyle w:val="VerbatimChar"/>
        </w:rPr>
        <w:t xml:space="preserve">0,1,2</w:t>
      </w:r>
      <w:r>
        <w:t xml:space="preserve">。所有方法对照均采用相同示范子集 manifest、同一评测 reset 列表、同一 episode horizon 和同一主指标。不同 seed 的随机权重初始化独立；评测环境 reset 集合固定在训练种子之间也相同。checkpoint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不纳入 50/20 个统计点。任何缺失保存点必须显式失败或标注缺失，不得悄悄缩小分母。</w:t>
      </w:r>
    </w:p>
    <w:bookmarkEnd w:id="21"/>
    <w:bookmarkStart w:id="22" w:name="成功率报告口径全部从独立加载-checkpoint-的闭环-rollout-计算"/>
    <w:p>
      <w:pPr>
        <w:pStyle w:val="Heading2"/>
      </w:pPr>
      <w:r>
        <w:t xml:space="preserve">3. 成功率报告口径（全部从独立加载 checkpoint 的闭环 rollout 计算）</w:t>
      </w:r>
    </w:p>
    <w:p>
      <w:pPr>
        <w:pStyle w:val="FirstParagraph"/>
      </w:pPr>
      <w:r>
        <w:t xml:space="preserve">每个方法 m、任务 q、训练种子 s、保存点 e：</w:t>
      </w:r>
      <w:r>
        <w:rPr>
          <w:rStyle w:val="VerbatimChar"/>
        </w:rPr>
        <w:t xml:space="preserve">SR_{m,q,s,e} = success_count / N_eval</w:t>
      </w:r>
      <w:r>
        <w:t xml:space="preserve">。MimicGen 使用任务官方 success 条件；ManiSkill</w:t>
      </w:r>
      <w:r>
        <w:t xml:space="preserve"> </w:t>
      </w:r>
      <w:r>
        <w:rPr>
          <w:b/>
          <w:bCs/>
        </w:rPr>
        <w:t xml:space="preserve">主指标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success_at_end</w:t>
      </w:r>
      <w:r>
        <w:rPr>
          <w:b/>
          <w:bCs/>
        </w:rPr>
        <w:t xml:space="preserve">，辅指标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success_once</w:t>
      </w:r>
      <w:r>
        <w:t xml:space="preserve">。不能把 success_once 与其他任务主指标平均。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Best SR（论文主表）</w:t>
      </w:r>
      <w:r>
        <w:t xml:space="preserve">：每个训练种子所有规定保存点的</w:t>
      </w:r>
      <w:r>
        <w:t xml:space="preserve"> </w:t>
      </w:r>
      <w:r>
        <w:rPr>
          <w:rStyle w:val="VerbatimChar"/>
        </w:rPr>
        <w:t xml:space="preserve">max_e SR_e</w:t>
      </w:r>
      <w:r>
        <w:t xml:space="preserve">，跨三个训练种子报告</w:t>
      </w:r>
      <w:r>
        <w:t xml:space="preserve"> </w:t>
      </w:r>
      <w:r>
        <w:rPr>
          <w:rStyle w:val="VerbatimChar"/>
        </w:rPr>
        <w:t xml:space="preserve">mean ± sample std</w:t>
      </w:r>
      <w:r>
        <w:t xml:space="preserve">。这是“训练期间观察到的最佳周期性闭环性能”，存在选择最大值的正偏差；不能称为独立 holdout test 精度。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Last-10 SR（论文独立附表/图）</w:t>
      </w:r>
      <w:r>
        <w:t xml:space="preserve">：最后</w:t>
      </w:r>
      <w:r>
        <w:t xml:space="preserve"> </w:t>
      </w:r>
      <w:r>
        <w:rPr>
          <w:b/>
          <w:bCs/>
        </w:rPr>
        <w:t xml:space="preserve">10 个按训练进度连续的保存点</w:t>
      </w:r>
      <w:r>
        <w:t xml:space="preserve"> </w:t>
      </w:r>
      <w:r>
        <w:t xml:space="preserve">的平均 SR，之后在三个种子上统计</w:t>
      </w:r>
      <w:r>
        <w:t xml:space="preserve"> </w:t>
      </w:r>
      <w:r>
        <w:rPr>
          <w:rStyle w:val="VerbatimChar"/>
        </w:rPr>
        <w:t xml:space="preserve">mean ± sample std</w:t>
      </w:r>
      <w:r>
        <w:t xml:space="preserve">。它不是“全训练过程中最佳 10 个”。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学习曲线</w:t>
      </w:r>
      <w:r>
        <w:t xml:space="preserve">：训练进度横轴按 Benchmark 独立单位记录（MimicGen epoch；ManiSkill optimizer updates），每点展示三个种子均值与标准差，原始每种子曲线同时保留。</w:t>
      </w:r>
    </w:p>
    <w:p>
      <w:pPr>
        <w:pStyle w:val="Compact"/>
        <w:numPr>
          <w:ilvl w:val="0"/>
          <w:numId w:val="1001"/>
        </w:numPr>
      </w:pPr>
      <w:r>
        <w:t xml:space="preserve">另外保留每 checkpoint 逐 episode</w:t>
      </w:r>
      <w:r>
        <w:t xml:space="preserve"> </w:t>
      </w:r>
      <w:r>
        <w:rPr>
          <w:rStyle w:val="VerbatimChar"/>
        </w:rPr>
        <w:t xml:space="preserve">(seed, reset_id, success, horizon, failure_reason, checkpoint_hash)</w:t>
      </w:r>
      <w:r>
        <w:t xml:space="preserve">，可计算 Wilson CI、同一初始状态配对差异及交互效应，但不能将高度相关的 checkpoint 当作独立训练种子。</w:t>
      </w:r>
    </w:p>
    <w:p>
      <w:pPr>
        <w:pStyle w:val="Compact"/>
        <w:numPr>
          <w:ilvl w:val="0"/>
          <w:numId w:val="1001"/>
        </w:numPr>
      </w:pPr>
      <w:r>
        <w:t xml:space="preserve">同 Bench 内可给任务宏平均，</w:t>
      </w:r>
      <w:r>
        <w:rPr>
          <w:b/>
          <w:bCs/>
        </w:rPr>
        <w:t xml:space="preserve">跨两个 Bench 不默认计算一个无定义的总 SR</w:t>
      </w:r>
      <w:r>
        <w:t xml:space="preserve">。</w:t>
      </w:r>
    </w:p>
    <w:bookmarkEnd w:id="22"/>
    <w:bookmarkStart w:id="23" w:name="主流模型对比与信息公平"/>
    <w:p>
      <w:pPr>
        <w:pStyle w:val="Heading2"/>
      </w:pPr>
      <w:r>
        <w:t xml:space="preserve">4. 主流模型对比与信息公平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论文主表名称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模态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研究用途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具体可复现要求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CNN-DP (E0)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RGB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直接基线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原版</w:t>
            </w:r>
            <w:r>
              <w:rPr>
                <w:rFonts w:ascii="Noto Serif CJK SC" w:hAnsi="Noto Serif CJK SC" w:eastAsia="Noto Serif CJK SC"/>
                <w:sz w:val="18"/>
              </w:rPr>
              <w:t xml:space="preserve"> </w:t>
            </w:r>
            <w:r>
              <w:rPr>
                <w:rStyle w:val="VerbatimChar"/>
                <w:rFonts w:ascii="Noto Serif CJK SC" w:hAnsi="Noto Serif CJK SC" w:eastAsia="Noto Serif CJK SC"/>
                <w:sz w:val="18"/>
              </w:rPr>
              <w:t xml:space="preserve">real-stanford/diffusion_policy</w:t>
            </w:r>
            <w:r>
              <w:rPr>
                <w:rFonts w:ascii="Noto Serif CJK SC" w:hAnsi="Noto Serif CJK SC" w:eastAsia="Noto Serif CJK SC"/>
                <w:sz w:val="18"/>
              </w:rPr>
              <w:t xml:space="preserve">、ResNet18、Conditional 1D U-Net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Transformer-DP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RGB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动作网络骨干对比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原版 DP Transformer；保留其原始动作预测与执行参数并记录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ACT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RGB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非扩散动作块方法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官方</w:t>
            </w:r>
            <w:r>
              <w:rPr>
                <w:rFonts w:ascii="Noto Serif CJK SC" w:hAnsi="Noto Serif CJK SC" w:eastAsia="Noto Serif CJK SC"/>
                <w:sz w:val="18"/>
              </w:rPr>
              <w:t xml:space="preserve"> </w:t>
            </w:r>
            <w:r>
              <w:rPr>
                <w:rStyle w:val="VerbatimChar"/>
                <w:rFonts w:ascii="Noto Serif CJK SC" w:hAnsi="Noto Serif CJK SC" w:eastAsia="Noto Serif CJK SC"/>
                <w:sz w:val="18"/>
              </w:rPr>
              <w:t xml:space="preserve">tonyzhaozh/act</w:t>
            </w:r>
            <w:r>
              <w:rPr>
                <w:rFonts w:ascii="Noto Serif CJK SC" w:hAnsi="Noto Serif CJK SC" w:eastAsia="Noto Serif CJK SC"/>
                <w:sz w:val="18"/>
              </w:rPr>
              <w:t xml:space="preserve">；MimicGen 可参考 IJRR 2026 chunk=10, KL=10, batch=64, lr=5e-5，非统一改成 U-Net 参数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BC-RNN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RGB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经典序列模仿学习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robomimic 官方 BC-RNN/LSTM-GMM；按照方法合理 action semantics，记录是否相对控制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DP3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同源深度反投影点云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3D 几何竞争方法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使用与 GSC 相同的深度相机、内外参；禁止完整场景 GT point cloud 或对象状态作为策略输入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GSC-DP (E6)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RGB-D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本文完整方法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GSA + Depth-associated TokenLearner，扩散动作 U-Net 不变</w:t>
            </w:r>
          </w:p>
        </w:tc>
      </w:tr>
    </w:tbl>
    <w:p>
      <w:pPr>
        <w:pStyle w:val="BodyText"/>
      </w:pPr>
      <w:r>
        <w:t xml:space="preserve">主表应该按方法输入模态分组，且额外给同模态强对照</w:t>
      </w:r>
      <w:r>
        <w:t xml:space="preserve"> </w:t>
      </w:r>
      <w:r>
        <w:rPr>
          <w:rStyle w:val="VerbatimChar"/>
        </w:rPr>
        <w:t xml:space="preserve">RGB-D CNN-DP (E1)</w:t>
      </w:r>
      <w:r>
        <w:t xml:space="preserve">；这样不会误把 RGB 与 RGB-D 的信息差别全归因于 GSA。比较 ACT/BC-RNN/DP3 等方法时，</w:t>
      </w:r>
      <w:r>
        <w:rPr>
          <w:b/>
          <w:bCs/>
        </w:rPr>
        <w:t xml:space="preserve">不强制相同 obs_horizon、chunk size、action representation</w:t>
      </w:r>
      <w:r>
        <w:t xml:space="preserve">，采用它们公开且合理的设置，保持数据、控制环境、episode horizon、评测条件一致并记录差异；禁止把不同控制语义造成的差异隐瞒。优先复用已发表公开实现，同任务若确实不支持应记录修复/适配，不得贴不同论文的数值充当本次实测。</w:t>
      </w:r>
    </w:p>
    <w:bookmarkEnd w:id="23"/>
    <w:bookmarkStart w:id="24" w:name="关键模块消融-编码器对比"/>
    <w:p>
      <w:pPr>
        <w:pStyle w:val="Heading2"/>
      </w:pPr>
      <w:r>
        <w:t xml:space="preserve">5. 关键模块消融 / 编码器对比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方法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首批任务覆盖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归因意义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E0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RGB ResNet18 CNN-DP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5 个任务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RGB 直接基线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E1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RGB-D 4-channel ResNet18 CNN-DP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5 个任务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深度数据本身的贡献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E2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RGB ResNet18 + plain SA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Threading、StackCube、PegInsertion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额外注意力容量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E3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RGB ResNet18 + Depth GSA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5 个任务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工作点一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E4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RGB + Depth-associated TokenLearner（无 GSA）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5 个任务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工作点二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E5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GSA + vanilla visual TokenLearner（无 u/v/d/rho）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3 个机制任务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几何 Token 的增量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E6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GSA + Depth-associated TokenLearner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5 个任务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完整方法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E7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RGB-D CNN + plain SA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3 个机制任务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区分 GSA 与“输入深度 + 注意力”</w:t>
            </w:r>
          </w:p>
        </w:tc>
      </w:tr>
    </w:tbl>
    <w:p>
      <w:pPr>
        <w:pStyle w:val="BodyText"/>
      </w:pPr>
      <w:r>
        <w:t xml:space="preserve">编码器：</w:t>
      </w:r>
      <w:r>
        <w:rPr>
          <w:rStyle w:val="VerbatimChar"/>
        </w:rPr>
        <w:t xml:space="preserve">RGB-D ResNet18 / ResNet34 / ResNet50 / ResNet18+plain SA / ResNet18+GSA</w:t>
      </w:r>
      <w:r>
        <w:t xml:space="preserve">。至少 Threading D2 与 PegInsertion 两项代表性任务比较；所有结构必须使用原始相同 U-Net 条件维度和相同训练与评测，统计参数量、FLOPs/延迟、显存和成功率。</w:t>
      </w:r>
    </w:p>
    <w:p>
      <w:pPr>
        <w:pStyle w:val="BodyText"/>
      </w:pPr>
      <w:r>
        <w:rPr>
          <w:b/>
          <w:bCs/>
        </w:rPr>
        <w:t xml:space="preserve">核心设计要点</w:t>
      </w:r>
      <w:r>
        <w:t xml:space="preserve">：E3 与 E4 在无 GSA/Token 时仍保留一条与原版 DP 一致的视觉基础分支。</w:t>
      </w:r>
      <w:r>
        <w:rPr>
          <w:rStyle w:val="VerbatimChar"/>
        </w:rPr>
        <w:t xml:space="preserve">E5</w:t>
      </w:r>
      <w:r>
        <w:t xml:space="preserve"> </w:t>
      </w:r>
      <w:r>
        <w:t xml:space="preserve">的 Token 聚合与</w:t>
      </w:r>
      <w:r>
        <w:t xml:space="preserve"> </w:t>
      </w:r>
      <w:r>
        <w:rPr>
          <w:rStyle w:val="VerbatimChar"/>
        </w:rPr>
        <w:t xml:space="preserve">E6</w:t>
      </w:r>
      <w:r>
        <w:t xml:space="preserve"> </w:t>
      </w:r>
      <w:r>
        <w:t xml:space="preserve">的 Token 数、位置、投影参数规模尽量匹配，差异集中在几何值是否提供。为检验区域深度与图像位置作用，额外做</w:t>
      </w:r>
      <w:r>
        <w:t xml:space="preserve"> </w:t>
      </w:r>
      <w:r>
        <w:rPr>
          <w:rStyle w:val="VerbatimChar"/>
        </w:rPr>
        <w:t xml:space="preserve">-uv</w:t>
      </w:r>
      <w:r>
        <w:t xml:space="preserve">,</w:t>
      </w:r>
      <w:r>
        <w:t xml:space="preserve"> </w:t>
      </w:r>
      <w:r>
        <w:rPr>
          <w:rStyle w:val="VerbatimChar"/>
        </w:rPr>
        <w:t xml:space="preserve">-d</w:t>
      </w:r>
      <w:r>
        <w:t xml:space="preserve">,</w:t>
      </w:r>
      <w:r>
        <w:t xml:space="preserve"> </w:t>
      </w:r>
      <w:r>
        <w:rPr>
          <w:rStyle w:val="VerbatimChar"/>
        </w:rPr>
        <w:t xml:space="preserve">-rho</w:t>
      </w:r>
      <w:r>
        <w:t xml:space="preserve">,</w:t>
      </w:r>
      <w:r>
        <w:t xml:space="preserve"> </w:t>
      </w:r>
      <w:r>
        <w:rPr>
          <w:rStyle w:val="VerbatimChar"/>
        </w:rPr>
        <w:t xml:space="preserve">K=4/8/16</w:t>
      </w:r>
      <w:r>
        <w:t xml:space="preserve"> </w:t>
      </w:r>
      <w:r>
        <w:t xml:space="preserve">等微消融，在 Threading + PegInsertion 做，不必在全部任务复制。</w:t>
      </w:r>
    </w:p>
    <w:bookmarkEnd w:id="24"/>
    <w:bookmarkStart w:id="25" w:name="数据效率-干预-效率"/>
    <w:p>
      <w:pPr>
        <w:pStyle w:val="Heading2"/>
      </w:pPr>
      <w:r>
        <w:t xml:space="preserve">6. 数据效率 / 干预 / 效率</w:t>
      </w:r>
    </w:p>
    <w:p>
      <w:pPr>
        <w:pStyle w:val="FirstParagraph"/>
      </w:pPr>
      <w:r>
        <w:t xml:space="preserve">数据效率选择 MimicGen Stack Three D1、Threading D2：100/200/1000 条，至少 E0/E1/E6，示范集合嵌套，三种子。遵循 IJRR 训练对齐公式：100 demos → 500 epochs、每 10；200 demos → 250 epochs、每 5；1000 demos → 50 epochs、每 1；各 50 个保存点，每点 50 episode 为本研究取值。</w:t>
      </w:r>
    </w:p>
    <w:p>
      <w:pPr>
        <w:pStyle w:val="BodyText"/>
      </w:pPr>
      <w:r>
        <w:t xml:space="preserve">深度干预只作为</w:t>
      </w:r>
      <w:r>
        <w:rPr>
          <w:b/>
          <w:bCs/>
        </w:rPr>
        <w:t xml:space="preserve">额外研究设置</w:t>
      </w:r>
      <w:r>
        <w:t xml:space="preserve">：</w:t>
      </w:r>
      <w:r>
        <w:rPr>
          <w:rStyle w:val="VerbatimChar"/>
        </w:rPr>
        <w:t xml:space="preserve">Depth 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structured depth noise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 patches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depth shuffled per 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 token 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 depth prior</w:t>
      </w:r>
      <w:r>
        <w:t xml:space="preserve">。在同 checkpoint、同环境初始状态、同方法的配对比较中进行；不得在主 benchmark success 表中混入干预结果。注意 depth shuffle 导致的 out-of-distribution 性能下降不能单独证明 GSA 的几何机理，只能作为配合注意力与动作误差证据的因果敏感性分析。</w:t>
      </w:r>
    </w:p>
    <w:p>
      <w:pPr>
        <w:pStyle w:val="BodyText"/>
      </w:pPr>
      <w:r>
        <w:t xml:space="preserve">性能：计算参数量、batch=1 视觉时间、完整规划时间（含所有 DDPM/DDIM step）、端到端 action latency、peak GPU alloc；GPU 正确 warm-up、synchronize、隔离其他 GPU 负载、固定图像大小。并行运行期间的 latency 不可与独占 GPU latency 混作公平比较，统一在独占时段重测。</w:t>
      </w:r>
    </w:p>
    <w:bookmarkEnd w:id="25"/>
    <w:bookmarkStart w:id="26" w:name="h200-并行计算与结果不串扰"/>
    <w:p>
      <w:pPr>
        <w:pStyle w:val="Heading2"/>
      </w:pPr>
      <w:r>
        <w:t xml:space="preserve">7. H200 并行计算与结果不串扰</w:t>
      </w:r>
    </w:p>
    <w:p>
      <w:pPr>
        <w:pStyle w:val="Compact"/>
        <w:numPr>
          <w:ilvl w:val="0"/>
          <w:numId w:val="1002"/>
        </w:numPr>
      </w:pPr>
      <w:r>
        <w:t xml:space="preserve">首次运行探测</w:t>
      </w:r>
      <w:r>
        <w:t xml:space="preserve"> </w:t>
      </w:r>
      <w:r>
        <w:rPr>
          <w:rStyle w:val="VerbatimChar"/>
        </w:rPr>
        <w:t xml:space="preserve">nvidia-smi --query-gpu</w:t>
      </w:r>
      <w:r>
        <w:t xml:space="preserve">、显存、GPU 数量、CPU 逻辑核心、RAM、仿真渲染 EGL/PhysX 后端；不得假设有 2 张 H200 或固定可用显存。</w:t>
      </w:r>
    </w:p>
    <w:p>
      <w:pPr>
        <w:pStyle w:val="Compact"/>
        <w:numPr>
          <w:ilvl w:val="0"/>
          <w:numId w:val="1002"/>
        </w:numPr>
      </w:pPr>
      <w:r>
        <w:t xml:space="preserve">使用两条持久化工作队列</w:t>
      </w:r>
      <w:r>
        <w:t xml:space="preserve"> </w:t>
      </w:r>
      <w:r>
        <w:rPr>
          <w:rStyle w:val="VerbatimChar"/>
        </w:rPr>
        <w:t xml:space="preserve">train_queue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eval_queue</w:t>
      </w:r>
      <w:r>
        <w:t xml:space="preserve">，调度单位</w:t>
      </w:r>
      <w:r>
        <w:t xml:space="preserve"> </w:t>
      </w:r>
      <w:r>
        <w:rPr>
          <w:rStyle w:val="VerbatimChar"/>
        </w:rPr>
        <w:t xml:space="preserve">(benchmark,task,method,seed,ckpt)</w:t>
      </w:r>
      <w:r>
        <w:t xml:space="preserve">；训练 run 与评测 run 在</w:t>
      </w:r>
      <w:r>
        <w:rPr>
          <w:b/>
          <w:bCs/>
        </w:rPr>
        <w:t xml:space="preserve">不同独立进程</w:t>
      </w:r>
      <w:r>
        <w:t xml:space="preserve">中运行，评测只能读取原子写入并验证 SHA256 后的 checkpoint。</w:t>
      </w:r>
    </w:p>
    <w:p>
      <w:pPr>
        <w:pStyle w:val="Compact"/>
        <w:numPr>
          <w:ilvl w:val="0"/>
          <w:numId w:val="1002"/>
        </w:numPr>
      </w:pPr>
      <w:r>
        <w:t xml:space="preserve">GPU 资源监控与抢占保护：依据实际可用显存和 CPU/仿真资源，允许单卡或多卡上多个作业并发；为每作业设置设备绑定和最大容许 GPU/CPU 资源，开跑前验证不与现有进程过量抢占；若资源不够则等待</w:t>
      </w:r>
      <w:r>
        <w:rPr>
          <w:b/>
          <w:bCs/>
        </w:rPr>
        <w:t xml:space="preserve">队列中的下一次调度</w:t>
      </w:r>
      <w:r>
        <w:t xml:space="preserve">，不缩减训练规模。</w:t>
      </w:r>
    </w:p>
    <w:p>
      <w:pPr>
        <w:pStyle w:val="Compact"/>
        <w:numPr>
          <w:ilvl w:val="0"/>
          <w:numId w:val="1002"/>
        </w:numPr>
      </w:pPr>
      <w:r>
        <w:t xml:space="preserve">训练与评测可交错并行。推荐策略是“checkpoint 原子落盘 → 评测队列增量入队 → 有空闲资源即异步评测”，不必等所有 epoch 训练结束；每个独立评测仍只加载保存的 checkpoint。</w:t>
      </w:r>
    </w:p>
    <w:p>
      <w:pPr>
        <w:pStyle w:val="Compact"/>
        <w:numPr>
          <w:ilvl w:val="0"/>
          <w:numId w:val="1002"/>
        </w:numPr>
      </w:pPr>
      <w:r>
        <w:t xml:space="preserve">RNG、数据加载 worker、环境 seed、CUDA 显存、图形渲染上下文和输出路径隔离；MuJoCo 的 EGL 设备与 CUDA_VISIBLE_DEVICES 的物理 GPU 映射要一一记录，避免渲染跑到另一张卡。</w:t>
      </w:r>
    </w:p>
    <w:p>
      <w:pPr>
        <w:pStyle w:val="Compact"/>
        <w:numPr>
          <w:ilvl w:val="0"/>
          <w:numId w:val="1002"/>
        </w:numPr>
      </w:pPr>
      <w:r>
        <w:t xml:space="preserve">训练结果与评测输入去重：每个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唯一，文件写入 temp 后 atomic rename，数据库/manifest 状态枚举</w:t>
      </w:r>
      <w:r>
        <w:t xml:space="preserve"> </w:t>
      </w:r>
      <w:r>
        <w:rPr>
          <w:rStyle w:val="VerbatimChar"/>
        </w:rPr>
        <w:t xml:space="preserve">queued/running/finished/failed</w:t>
      </w:r>
      <w:r>
        <w:t xml:space="preserve">，失败原因可追溯，断点恢复不覆盖已有数据。</w:t>
      </w:r>
    </w:p>
    <w:p>
      <w:pPr>
        <w:pStyle w:val="Compact"/>
        <w:numPr>
          <w:ilvl w:val="0"/>
          <w:numId w:val="1002"/>
        </w:numPr>
      </w:pPr>
      <w:r>
        <w:t xml:space="preserve">论文时延评测需在</w:t>
      </w:r>
      <w:r>
        <w:rPr>
          <w:b/>
          <w:bCs/>
        </w:rPr>
        <w:t xml:space="preserve">无其他 GPU 作业</w:t>
      </w:r>
      <w:r>
        <w:t xml:space="preserve">的隔离窗口执行；多进程吞吐/资源利用率可另出一张工程表，不等同于单策略推理时延。</w:t>
      </w:r>
    </w:p>
    <w:bookmarkEnd w:id="26"/>
    <w:bookmarkStart w:id="27" w:name="论文证据及自动化输出契约"/>
    <w:p>
      <w:pPr>
        <w:pStyle w:val="Heading2"/>
      </w:pPr>
      <w:r>
        <w:t xml:space="preserve">8. 论文证据及自动化输出契约</w:t>
      </w:r>
    </w:p>
    <w:p>
      <w:pPr>
        <w:pStyle w:val="FirstParagraph"/>
      </w:pPr>
      <w:r>
        <w:t xml:space="preserve">下列为必须覆盖的表/图（正式稿编号可微调）。每项产出附</w:t>
      </w:r>
      <w:r>
        <w:t xml:space="preserve"> </w:t>
      </w:r>
      <w:r>
        <w:rPr>
          <w:rStyle w:val="VerbatimChar"/>
        </w:rPr>
        <w:t xml:space="preserve">figure_manifest</w:t>
      </w:r>
      <w:r>
        <w:t xml:space="preserve">：原始数据路径、模型 SHA、任务、相机、reset_id、训练种子、脚本 SHA、绘图参数、定义、单位。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输出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来源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检验的研究论断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表3-1 任务与超参数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data manifest/config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训练与评测可复现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表3-2 主流方法成功率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eval episode JSONL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M0-M5 竞争力；Best/Last-10 分列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表3-3 E0-E7 消融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eval JSONL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两工作点和 GSA 深度先验作用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表3-4 编码器及容量对比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weights/profiler + eval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是否只是更大模型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表3-5 数据效率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subset manifest + eval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低示范量是否有收益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表3-6 几何注意力统计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saved actual Q/K/weights + GT instances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同物体/跨物体权重质量及特征相似度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表3-7 Token 统计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actual mask, D, valid + GT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token 覆盖、深度与位置误差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表3-8 动作误差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rollout state GT only offline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距离/姿态误差与成功率的联系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表3-9 时延显存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isolated profiler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代价是否可接受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图3-4/5 主流对比与消融柱形图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per-seed result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主要结论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图3-6/7 训练进度与 last10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per-checkpoint eval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收敛与末期稳定性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图3-8 几何先验与 GSA 注意力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actual observed tensor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位置间交互机制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图3-9 原始特征/GSA 后特征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actual tensors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特征结构差异，不把 norm 称 attention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图3-10 Token mask 和中心深度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actual token/depth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局部视觉-几何表示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图3-11 动作误差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rollout state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感知信息如何作用到控制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图3-12 成功/失败视频帧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paired reset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典型可解释案例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图3-13 深度干预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paired test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对深度输入的敏感性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图3-14 数据效率与延迟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official eval + profiler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erif CJK SC" w:hAnsi="Noto Serif CJK SC" w:eastAsia="Noto Serif CJK SC"/>
                <w:sz w:val="18"/>
              </w:rPr>
              <w:t xml:space="preserve">有效性与成本</w:t>
            </w:r>
          </w:p>
        </w:tc>
      </w:tr>
    </w:tbl>
    <w:p>
      <w:pPr>
        <w:pStyle w:val="BodyText"/>
      </w:pPr>
      <w:r>
        <w:rPr>
          <w:b/>
          <w:bCs/>
        </w:rPr>
        <w:t xml:space="preserve">注意</w:t>
      </w:r>
      <w:r>
        <w:t xml:space="preserve">：无物体实例 GT 时，不填注意力“物体纯度”；TokenLearner 不是天然的物体分割器，目标 Token 关联需要事先登记算法规则，不能事后挑最大相似度的个例冒充整体。不得向策略泄漏 GT 分割、真值抓取姿态、任务进度标签。</w:t>
      </w:r>
    </w:p>
    <w:bookmarkEnd w:id="27"/>
    <w:bookmarkStart w:id="28" w:name="复现实验产物与完成标准"/>
    <w:p>
      <w:pPr>
        <w:pStyle w:val="Heading2"/>
      </w:pPr>
      <w:r>
        <w:t xml:space="preserve">9. 复现实验产物与完成标准</w:t>
      </w:r>
    </w:p>
    <w:p>
      <w:pPr>
        <w:pStyle w:val="FirstParagraph"/>
      </w:pPr>
      <w:r>
        <w:t xml:space="preserve">每个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保存</w:t>
      </w:r>
      <w:r>
        <w:t xml:space="preserve"> </w:t>
      </w:r>
      <w:r>
        <w:rPr>
          <w:rStyle w:val="VerbatimChar"/>
        </w:rPr>
        <w:t xml:space="preserve">config_resolved.yaml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versions.lock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dataset_manifest.json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checkpoints/*.pt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train_metrics.jsonl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eval/&lt;step&gt;/episodes.jsonl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eval_summary.json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weights.sha256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gpu_job.json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artifact_manifest.json</w:t>
      </w:r>
      <w:r>
        <w:t xml:space="preserve">。所有图表只从实际日志导出；任何不可计算字段留</w:t>
      </w:r>
      <w:r>
        <w:t xml:space="preserve"> </w:t>
      </w:r>
      <w:r>
        <w:rPr>
          <w:rStyle w:val="VerbatimChar"/>
        </w:rPr>
        <w:t xml:space="preserve">NA(reason)</w:t>
      </w:r>
      <w:r>
        <w:t xml:space="preserve">。</w:t>
      </w:r>
    </w:p>
    <w:p>
      <w:pPr>
        <w:pStyle w:val="BodyText"/>
      </w:pPr>
      <w:r>
        <w:t xml:space="preserve">论文第三章“完成实验”定义：5 任务 × (6 主流方法 + 额外 RGB-D 基线) × 3 种子的主表，5任务核心 E0/E1/E3/E4/E6 消融，3任务扩展注意力对照，2任务编码器/数据效率，代表性任务深度干预与动作误差分析，均有可复现实验记录、表图导出和明确失败日志。数据集和模型许可/版本同时归档。</w:t>
      </w:r>
    </w:p>
    <w:bookmarkEnd w:id="28"/>
    <w:bookmarkStart w:id="29" w:name="官方参考与使用说明"/>
    <w:p>
      <w:pPr>
        <w:pStyle w:val="Heading2"/>
      </w:pPr>
      <w:r>
        <w:t xml:space="preserve">10. 官方参考与使用说明</w:t>
      </w:r>
    </w:p>
    <w:p>
      <w:pPr>
        <w:pStyle w:val="Compact"/>
        <w:numPr>
          <w:ilvl w:val="0"/>
          <w:numId w:val="1003"/>
        </w:numPr>
      </w:pPr>
      <w:r>
        <w:t xml:space="preserve">Diffusion Policy 代码与任务配置：https://github.com/real-stanford/diffusion_policy</w:t>
      </w:r>
    </w:p>
    <w:p>
      <w:pPr>
        <w:pStyle w:val="Compact"/>
        <w:numPr>
          <w:ilvl w:val="0"/>
          <w:numId w:val="1003"/>
        </w:numPr>
      </w:pPr>
      <w:r>
        <w:t xml:space="preserve">MimicGen datasets（core、各任务轨迹）：https://mimicgen.github.io/docs/datasets/mimicgen_corl_2023.html</w:t>
      </w:r>
    </w:p>
    <w:p>
      <w:pPr>
        <w:pStyle w:val="Compact"/>
        <w:numPr>
          <w:ilvl w:val="0"/>
          <w:numId w:val="1003"/>
        </w:numPr>
      </w:pPr>
      <w:r>
        <w:t xml:space="preserve">MimicGen 官方任务及 horizon：https://github.com/NVlabs/mimicgen/blob/main/mimicgen/</w:t>
      </w:r>
      <w:r>
        <w:rPr>
          <w:b/>
          <w:bCs/>
        </w:rPr>
        <w:t xml:space="preserve">init</w:t>
      </w:r>
      <w:r>
        <w:t xml:space="preserve">.py</w:t>
      </w:r>
    </w:p>
    <w:p>
      <w:pPr>
        <w:pStyle w:val="Compact"/>
        <w:numPr>
          <w:ilvl w:val="0"/>
          <w:numId w:val="1003"/>
        </w:numPr>
      </w:pPr>
      <w:r>
        <w:t xml:space="preserve">Wang et al.,</w:t>
      </w:r>
      <w:r>
        <w:t xml:space="preserve"> </w:t>
      </w:r>
      <w:r>
        <w:rPr>
          <w:i/>
          <w:iCs/>
        </w:rPr>
        <w:t xml:space="preserve">Equivariant diffusion policy for sample-efficient robotic manipulation</w:t>
      </w:r>
      <w:r>
        <w:t xml:space="preserve">, IJRR 2026，尤其 §Simulation / Appendix Training Detail：https://doi.org/10.1177/02783649261424445</w:t>
      </w:r>
    </w:p>
    <w:p>
      <w:pPr>
        <w:pStyle w:val="Compact"/>
        <w:numPr>
          <w:ilvl w:val="0"/>
          <w:numId w:val="1003"/>
        </w:numPr>
      </w:pPr>
      <w:r>
        <w:t xml:space="preserve">ManiSkill 官方 DP 训练脚本：https://github.com/mani-skill/ManiSkill/tree/main/examples/baselines/diffusion_policy</w:t>
      </w:r>
    </w:p>
    <w:p>
      <w:pPr>
        <w:pStyle w:val="Compact"/>
        <w:numPr>
          <w:ilvl w:val="0"/>
          <w:numId w:val="1003"/>
        </w:numPr>
      </w:pPr>
      <w:r>
        <w:t xml:space="preserve">ManiSkill 官方轨迹重放：https://maniskill.readthedocs.io/en/latest/user_guide/datasets/replay.html</w:t>
      </w:r>
    </w:p>
    <w:p>
      <w:pPr>
        <w:pStyle w:val="Compact"/>
        <w:numPr>
          <w:ilvl w:val="0"/>
          <w:numId w:val="1003"/>
        </w:numPr>
      </w:pPr>
      <w:r>
        <w:t xml:space="preserve">robomimic 图像+深度转换：https://robomimic.github.io/docs/datasets/robosuite.html</w:t>
      </w:r>
    </w:p>
    <w:p>
      <w:pPr>
        <w:pStyle w:val="Compact"/>
        <w:numPr>
          <w:ilvl w:val="0"/>
          <w:numId w:val="1003"/>
        </w:numPr>
      </w:pPr>
      <w:r>
        <w:t xml:space="preserve">DFormerv2 (CVPR 2025)：https://github.com/VCIP-RGBD/DFormer</w:t>
      </w:r>
    </w:p>
    <w:p>
      <w:pPr>
        <w:pStyle w:val="Compact"/>
        <w:numPr>
          <w:ilvl w:val="0"/>
          <w:numId w:val="1003"/>
        </w:numPr>
      </w:pPr>
      <w:r>
        <w:t xml:space="preserve">TokenLearner (NeurIPS 2021)：https://github.com/google-research/scenic/tree/main/scenic/projects/token_learner</w:t>
      </w:r>
    </w:p>
    <w:p>
      <w:pPr>
        <w:pStyle w:val="Compact"/>
        <w:numPr>
          <w:ilvl w:val="0"/>
          <w:numId w:val="1003"/>
        </w:numPr>
      </w:pPr>
      <w:r>
        <w:t xml:space="preserve">DP3：https://github.com/YanjieZe/3D-Diffusion-Policy</w:t>
      </w:r>
    </w:p>
    <w:p>
      <w:pPr>
        <w:pStyle w:val="Compact"/>
        <w:numPr>
          <w:ilvl w:val="0"/>
          <w:numId w:val="1003"/>
        </w:numPr>
      </w:pPr>
      <w:r>
        <w:t xml:space="preserve">ACT：https://github.com/tonyzhaozh/act</w:t>
      </w:r>
    </w:p>
    <w:p>
      <w:pPr>
        <w:pStyle w:val="BlockText"/>
      </w:pPr>
      <w:r>
        <w:t xml:space="preserve">版本说明：文献与官网核验截至 2026-10-13，具体可执行 CLI 参数须由 Codex 在 H200 上根据已锁定的 git commit/实际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二次核对。论文“已验证结果”只能由运行后的输出填入。</w:t>
      </w:r>
    </w:p>
    <w:bookmarkEnd w:id="29"/>
    <w:bookmarkEnd w:id="30"/>
    <w:sectPr>
      <w:pgSz w:orient="landscape" w:w="16838" w:h="11906"/>
      <w:pgMar w:top="1020" w:bottom="1020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2026-10-13T08:15:58Z</dcterms:created>
  <dcterms:modified xsi:type="dcterms:W3CDTF">2026-10-13T08:15:58Z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