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9.png" ContentType="image/png"/>
  <Override PartName="/word/media/rId33.png" ContentType="image/png"/>
  <Override PartName="/word/media/rId41.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第三章-基于深度几何注意力与自适应空间特征融合的扩散策略研究"/>
    <w:p>
      <w:pPr>
        <w:pStyle w:val="Heading1"/>
      </w:pPr>
      <w:r>
        <w:t xml:space="preserve">第三章 基于深度几何注意力与自适应空间特征融合的扩散策略研究</w:t>
      </w:r>
    </w:p>
    <w:p>
      <w:pPr>
        <w:pStyle w:val="BlockText"/>
      </w:pPr>
      <w:r>
        <w:rPr>
          <w:b/>
          <w:bCs/>
        </w:rPr>
        <w:t xml:space="preserve">研究初稿 v2.0（2026-10-13，待实验验证）</w:t>
      </w:r>
      <w:r>
        <w:t xml:space="preserve">。本章为拟开展的 GSC-DP 方法设计与论文文字初稿。凡标注“待填”</w:t>
      </w:r>
      <w:r>
        <w:t xml:space="preserve">“</w:t>
      </w:r>
      <w:r>
        <w:t xml:space="preserve">占位</w:t>
      </w:r>
      <w:r>
        <w:t xml:space="preserve">”</w:t>
      </w:r>
      <w:r>
        <w:t xml:space="preserve">的图、表和结果，均需在真实训练及闭环评测后替换；不得将待验证的设计动机表述为已经证实的实验结论。正文编号和参考文献序号为本章临时序号，合并学位论文时统一调整。</w:t>
      </w:r>
    </w:p>
    <w:bookmarkStart w:id="20" w:name="引言"/>
    <w:p>
      <w:pPr>
        <w:pStyle w:val="Heading2"/>
      </w:pPr>
      <w:r>
        <w:t xml:space="preserve">3.1 引言</w:t>
      </w:r>
    </w:p>
    <w:p>
      <w:pPr>
        <w:pStyle w:val="FirstParagraph"/>
      </w:pPr>
      <w:r>
        <w:t xml:space="preserve">近年来，基于模仿学习的视觉运动控制方法能够从专家示范中学习观测到动作的映射，已成为机器人抓取、搬运、装配及双臂协同操作的重要研究方向。Diffusion Policy（DP）以条件扩散模型表示动作序列分布，将机器人当前观测作为条件，通过多步迭代去噪生成连续动作块，并以滚动时域方式闭环执行[1]。其中，CNN-based Diffusion Policy 利用视觉编码器提取图像表征，并以特征调制方式将观测信息传递给一维条件 U-Net。该架构在处理多模态动作分布方面具有优势，也为视觉特征编码环节的改进提供了清晰接口。</w:t>
      </w:r>
    </w:p>
    <w:p>
      <w:pPr>
        <w:pStyle w:val="BodyText"/>
      </w:pPr>
      <w:r>
        <w:t xml:space="preserve">然而，采用 RGB 图像的视觉编码方式主要依赖颜色、纹理、物体轮廓以及在数据中学习到的透视线索来推断空间状态。在光照变化、颜色相近、遮挡以及物体高度或相机距离变化等场景下，仅由 RGB 图像推断几何关系可能更为困难。对于抓取、对准、堆叠及插入等机器人操作任务，物体表面距离、操作对象与周围结构之间的相对几何关系都是影响动作生成的重要观测信息。RGB-D 相机中的深度图能够提供从相机到可见表面的距离测量，但直接增加独立深度编码分支可能引入额外参数和推理开销；简单拼接 RGB 与 Depth 也不一定充分利用深度图中明确的几何意义。</w:t>
      </w:r>
    </w:p>
    <w:p>
      <w:pPr>
        <w:pStyle w:val="BodyText"/>
      </w:pPr>
      <w:r>
        <w:t xml:space="preserve">DFormerv2 在 RGB-D 语义分割任务中提出几何自注意力（Geometry Self-Attention，GSA）[2]，根据深度差异与空间距离构建几何先验，利用该先验调节 RGB 特征间的信息交互，而不是依赖独立的深度主干提取深度语义特征。原论文在语义分割数据集上的消融实验表明该几何先验具有视觉表示价值，但尚不能据此推断其对机器人动作生成成功率的影响。另一方面，TokenLearner 利用输入特征自适应生成少量空间权重图，从密集空间特征中聚合紧凑的视觉 Token[3]。该机制能够提取任务损失引导下的视觉表征，但原始形式并不显式保留每个 Token 对应区域的深度测量值。</w:t>
      </w:r>
    </w:p>
    <w:p>
      <w:pPr>
        <w:pStyle w:val="BodyText"/>
      </w:pPr>
      <w:r>
        <w:t xml:space="preserve">针对上述问题，本章以 CNN-based Diffusion Policy 为基线，研究深度几何信息的轻量化注入与动作条件构造，提出一种</w:t>
      </w:r>
      <w:r>
        <w:rPr>
          <w:b/>
          <w:bCs/>
        </w:rPr>
        <w:t xml:space="preserve">基于深度几何注意力与自适应空间特征融合的扩散策略</w:t>
      </w:r>
      <w:r>
        <w:t xml:space="preserve">（Geometry-aware Spatial Conditioning Diffusion Policy，GSC-DP）。首先，将 DFormerv2 的 GSA 以低分辨率、单层、残差式结构接入 ResNet18 中间阶段，使 RGB 特征在生成过程中受到深度几何先验的调节；随后，基于 TokenLearner 构建自适应空间特征聚合分支，复用其空间权重提取被关注区域的图像位置、深度和测量有效性，形成视觉—几何联合 Token；最后，通过轻量条件映射与原始视觉条件进行残差融合，保留 CNN-DP 的条件一维 U-Net 和动作扩散目标。</w:t>
      </w:r>
    </w:p>
    <w:p>
      <w:pPr>
        <w:pStyle w:val="BodyText"/>
      </w:pPr>
      <w:r>
        <w:t xml:space="preserve">本章的具体工作包括：（1）设计适配 CNN-DP 的轻量化 GSA 视觉编码结构，在保留 ResNet18 主干与动作扩散网络的前提下引入深度几何关系；（2）设计深度关联的自适应空间 Token 表示，将局部视觉表征与二维图像位置、深度测量及有效性信息建立对应关系；（3）构建兼容原始扩散策略的视觉条件接口，并制定独立消融、深度退化、任务成功率及端到端延迟评测方案。上述内容均为方法设计与待验证假设，实验结果将在后续训练与评测完成后填写。</w:t>
      </w:r>
    </w:p>
    <w:bookmarkEnd w:id="20"/>
    <w:bookmarkStart w:id="27" w:name="gsc-dp-算法总体架构"/>
    <w:p>
      <w:pPr>
        <w:pStyle w:val="Heading2"/>
      </w:pPr>
      <w:r>
        <w:t xml:space="preserve">3.2 GSC-DP 算法总体架构</w:t>
      </w:r>
    </w:p>
    <w:bookmarkStart w:id="21" w:name="任务定义与观测形式"/>
    <w:p>
      <w:pPr>
        <w:pStyle w:val="Heading3"/>
      </w:pPr>
      <w:r>
        <w:t xml:space="preserve">3.2.1 任务定义与观测形式</w:t>
      </w:r>
    </w:p>
    <w:p>
      <w:pPr>
        <w:pStyle w:val="FirstParagraph"/>
      </w:pPr>
      <w:r>
        <w:t xml:space="preserve">考虑基于专家示范的机器人操作任务。令时刻</w:t>
      </w:r>
      <w:r>
        <w:t xml:space="preserve"> </w:t>
      </w:r>
      <m:oMath>
        <m:r>
          <m:t>t</m:t>
        </m:r>
      </m:oMath>
      <w:r>
        <w:t xml:space="preserve"> </w:t>
      </w:r>
      <w:r>
        <w:t xml:space="preserve">的观测为</w:t>
      </w:r>
    </w:p>
    <w:p>
      <w:pPr>
        <w:pStyle w:val="BodyText"/>
      </w:pPr>
      <m:oMathPara>
        <m:oMathParaPr>
          <m:jc m:val="center"/>
        </m:oMathParaPr>
        <m:oMath>
          <m:sSub>
            <m:e>
              <m:r>
                <m:t>o</m:t>
              </m:r>
            </m:e>
            <m:sub>
              <m:r>
                <m:t>t</m:t>
              </m:r>
            </m:sub>
          </m:sSub>
          <m:r>
            <m:rPr>
              <m:sty m:val="p"/>
            </m:rPr>
            <m:t>=</m:t>
          </m:r>
          <m:r>
            <m:rPr>
              <m:sty m:val="p"/>
            </m:rPr>
            <m:t>{</m:t>
          </m:r>
          <m:sSub>
            <m:e>
              <m:r>
                <m:t>I</m:t>
              </m:r>
            </m:e>
            <m:sub>
              <m:r>
                <m:t>t</m:t>
              </m:r>
            </m:sub>
          </m:sSub>
          <m:r>
            <m:rPr>
              <m:sty m:val="p"/>
            </m:rPr>
            <m:t>,</m:t>
          </m:r>
          <m:sSub>
            <m:e>
              <m:r>
                <m:t>D</m:t>
              </m:r>
            </m:e>
            <m:sub>
              <m:r>
                <m:t>t</m:t>
              </m:r>
            </m:sub>
          </m:sSub>
          <m:r>
            <m:rPr>
              <m:sty m:val="p"/>
            </m:rPr>
            <m:t>,</m:t>
          </m:r>
          <m:sSub>
            <m:e>
              <m:r>
                <m:t>q</m:t>
              </m:r>
            </m:e>
            <m:sub>
              <m:r>
                <m:t>t</m:t>
              </m:r>
            </m:sub>
          </m:sSub>
          <m:r>
            <m:rPr>
              <m:sty m:val="p"/>
            </m:rPr>
            <m:t>}</m:t>
          </m:r>
          <m:r>
            <m:rPr>
              <m:sty m:val="p"/>
            </m:rPr>
            <m:t>,</m:t>
          </m:r>
        </m:oMath>
      </m:oMathPara>
    </w:p>
    <w:p>
      <w:pPr>
        <w:pStyle w:val="FirstParagraph"/>
      </w:pPr>
      <w:r>
        <w:t xml:space="preserve">其中，</w:t>
      </w:r>
      <m:oMath>
        <m:sSub>
          <m:e>
            <m:r>
              <m:t>I</m:t>
            </m:r>
          </m:e>
          <m:sub>
            <m:r>
              <m:t>t</m:t>
            </m:r>
          </m:sub>
        </m:sSub>
        <m:r>
          <m:rPr>
            <m:sty m:val="p"/>
          </m:rPr>
          <m:t>∈</m:t>
        </m:r>
        <m:sSup>
          <m:e>
            <m:r>
              <m:rPr>
                <m:sty m:val="p"/>
                <m:scr m:val="double-struck"/>
              </m:rPr>
              <m:t>R</m:t>
            </m:r>
          </m:e>
          <m:sup>
            <m:r>
              <m:t>3</m:t>
            </m:r>
            <m:r>
              <m:rPr>
                <m:sty m:val="p"/>
              </m:rPr>
              <m:t>×</m:t>
            </m:r>
            <m:r>
              <m:t>H</m:t>
            </m:r>
            <m:r>
              <m:rPr>
                <m:sty m:val="p"/>
              </m:rPr>
              <m:t>×</m:t>
            </m:r>
            <m:r>
              <m:t>W</m:t>
            </m:r>
          </m:sup>
        </m:sSup>
      </m:oMath>
      <w:r>
        <w:t xml:space="preserve"> </w:t>
      </w:r>
      <w:r>
        <w:t xml:space="preserve">为 RGB 图像，</w:t>
      </w:r>
      <m:oMath>
        <m:sSub>
          <m:e>
            <m:r>
              <m:t>D</m:t>
            </m:r>
          </m:e>
          <m:sub>
            <m:r>
              <m:t>t</m:t>
            </m:r>
          </m:sub>
        </m:sSub>
        <m:r>
          <m:rPr>
            <m:sty m:val="p"/>
          </m:rPr>
          <m:t>∈</m:t>
        </m:r>
        <m:sSup>
          <m:e>
            <m:r>
              <m:rPr>
                <m:sty m:val="p"/>
                <m:scr m:val="double-struck"/>
              </m:rPr>
              <m:t>R</m:t>
            </m:r>
          </m:e>
          <m:sup>
            <m:r>
              <m:t>1</m:t>
            </m:r>
            <m:r>
              <m:rPr>
                <m:sty m:val="p"/>
              </m:rPr>
              <m:t>×</m:t>
            </m:r>
            <m:r>
              <m:t>H</m:t>
            </m:r>
            <m:r>
              <m:rPr>
                <m:sty m:val="p"/>
              </m:rPr>
              <m:t>×</m:t>
            </m:r>
            <m:r>
              <m:t>W</m:t>
            </m:r>
          </m:sup>
        </m:sSup>
      </m:oMath>
      <w:r>
        <w:t xml:space="preserve"> </w:t>
      </w:r>
      <w:r>
        <w:t xml:space="preserve">为与 RGB 空间对齐的深度图，</w:t>
      </w:r>
      <m:oMath>
        <m:sSub>
          <m:e>
            <m:r>
              <m:t>q</m:t>
            </m:r>
          </m:e>
          <m:sub>
            <m:r>
              <m:t>t</m:t>
            </m:r>
          </m:sub>
        </m:sSub>
        <m:r>
          <m:rPr>
            <m:sty m:val="p"/>
          </m:rPr>
          <m:t>∈</m:t>
        </m:r>
        <m:sSup>
          <m:e>
            <m:r>
              <m:rPr>
                <m:sty m:val="p"/>
                <m:scr m:val="double-struck"/>
              </m:rPr>
              <m:t>R</m:t>
            </m:r>
          </m:e>
          <m:sup>
            <m:sSub>
              <m:e>
                <m:r>
                  <m:t>d</m:t>
                </m:r>
              </m:e>
              <m:sub>
                <m:r>
                  <m:t>q</m:t>
                </m:r>
              </m:sub>
            </m:sSub>
          </m:sup>
        </m:sSup>
      </m:oMath>
      <w:r>
        <w:t xml:space="preserve"> </w:t>
      </w:r>
      <w:r>
        <w:t xml:space="preserve">表示机器人可在执行时获得的本体状态。若数据集中提供多个摄像头，优先选择其中已校准且 RGB、Depth 一一对应的视角作为 RGB-D 输入，其他视角可按照原始 DP 的观测编码方式保留，避免假设所有相机均具有深度。</w:t>
      </w:r>
    </w:p>
    <w:p>
      <w:pPr>
        <w:pStyle w:val="BodyText"/>
      </w:pPr>
      <w:r>
        <w:t xml:space="preserve">使用长度为</w:t>
      </w:r>
      <w:r>
        <w:t xml:space="preserve"> </w:t>
      </w:r>
      <m:oMath>
        <m:sSub>
          <m:e>
            <m:r>
              <m:t>T</m:t>
            </m:r>
          </m:e>
          <m:sub>
            <m:r>
              <m:t>o</m:t>
            </m:r>
          </m:sub>
        </m:sSub>
      </m:oMath>
      <w:r>
        <w:t xml:space="preserve"> </w:t>
      </w:r>
      <w:r>
        <w:t xml:space="preserve">的历史观测窗口</w:t>
      </w:r>
      <w:r>
        <w:t xml:space="preserve"> </w:t>
      </w:r>
      <m:oMath>
        <m:sSub>
          <m:e>
            <m:r>
              <m:t>O</m:t>
            </m:r>
          </m:e>
          <m:sub>
            <m:r>
              <m:t>t</m:t>
            </m:r>
          </m:sub>
        </m:sSub>
        <m:r>
          <m:rPr>
            <m:sty m:val="p"/>
          </m:rPr>
          <m:t>=</m:t>
        </m:r>
        <m:d>
          <m:dPr>
            <m:begChr m:val="("/>
            <m:endChr m:val=")"/>
            <m:sepChr m:val=""/>
            <m:grow/>
          </m:dPr>
          <m:e>
            <m:sSub>
              <m:e>
                <m:r>
                  <m:t>o</m:t>
                </m:r>
              </m:e>
              <m:sub>
                <m:r>
                  <m:t>t</m:t>
                </m:r>
                <m:r>
                  <m:rPr>
                    <m:sty m:val="p"/>
                  </m:rPr>
                  <m:t>−</m:t>
                </m:r>
                <m:sSub>
                  <m:e>
                    <m:r>
                      <m:t>T</m:t>
                    </m:r>
                  </m:e>
                  <m:sub>
                    <m:r>
                      <m:t>o</m:t>
                    </m:r>
                  </m:sub>
                </m:sSub>
                <m:r>
                  <m:rPr>
                    <m:sty m:val="p"/>
                  </m:rPr>
                  <m:t>+</m:t>
                </m:r>
                <m:r>
                  <m:t>1</m:t>
                </m:r>
              </m:sub>
            </m:sSub>
            <m:r>
              <m:rPr>
                <m:sty m:val="p"/>
              </m:rPr>
              <m:t>,</m:t>
            </m:r>
            <m:r>
              <m:rPr>
                <m:sty m:val="p"/>
              </m:rPr>
              <m:t>…</m:t>
            </m:r>
            <m:r>
              <m:rPr>
                <m:sty m:val="p"/>
              </m:rPr>
              <m:t>,</m:t>
            </m:r>
            <m:sSub>
              <m:e>
                <m:r>
                  <m:t>o</m:t>
                </m:r>
              </m:e>
              <m:sub>
                <m:r>
                  <m:t>t</m:t>
                </m:r>
              </m:sub>
            </m:sSub>
          </m:e>
        </m:d>
      </m:oMath>
      <w:r>
        <w:t xml:space="preserve">，策略预测长度为</w:t>
      </w:r>
      <w:r>
        <w:t xml:space="preserve"> </w:t>
      </w:r>
      <m:oMath>
        <m:sSub>
          <m:e>
            <m:r>
              <m:t>T</m:t>
            </m:r>
          </m:e>
          <m:sub>
            <m:r>
              <m:t>p</m:t>
            </m:r>
          </m:sub>
        </m:sSub>
      </m:oMath>
      <w:r>
        <w:t xml:space="preserve"> </w:t>
      </w:r>
      <w:r>
        <w:t xml:space="preserve">的动作块</w:t>
      </w:r>
      <w:r>
        <w:t xml:space="preserve"> </w:t>
      </w:r>
      <m:oMath>
        <m:sSubSup>
          <m:e>
            <m:r>
              <m:t>A</m:t>
            </m:r>
          </m:e>
          <m:sub>
            <m:r>
              <m:t>t</m:t>
            </m:r>
          </m:sub>
          <m:sup>
            <m:r>
              <m:t>0</m:t>
            </m:r>
          </m:sup>
        </m:sSubSup>
        <m:r>
          <m:rPr>
            <m:sty m:val="p"/>
          </m:rPr>
          <m:t>=</m:t>
        </m:r>
        <m:d>
          <m:dPr>
            <m:begChr m:val="("/>
            <m:endChr m:val=")"/>
            <m:sepChr m:val=""/>
            <m:grow/>
          </m:dPr>
          <m:e>
            <m:sSub>
              <m:e>
                <m:r>
                  <m:t>a</m:t>
                </m:r>
              </m:e>
              <m:sub>
                <m:r>
                  <m:t>t</m:t>
                </m:r>
              </m:sub>
            </m:sSub>
            <m:r>
              <m:rPr>
                <m:sty m:val="p"/>
              </m:rPr>
              <m:t>,</m:t>
            </m:r>
            <m:r>
              <m:rPr>
                <m:sty m:val="p"/>
              </m:rPr>
              <m:t>…</m:t>
            </m:r>
            <m:r>
              <m:rPr>
                <m:sty m:val="p"/>
              </m:rPr>
              <m:t>,</m:t>
            </m:r>
            <m:sSub>
              <m:e>
                <m:r>
                  <m:t>a</m:t>
                </m:r>
              </m:e>
              <m:sub>
                <m:r>
                  <m:t>t</m:t>
                </m:r>
                <m:r>
                  <m:rPr>
                    <m:sty m:val="p"/>
                  </m:rPr>
                  <m:t>+</m:t>
                </m:r>
                <m:sSub>
                  <m:e>
                    <m:r>
                      <m:t>T</m:t>
                    </m:r>
                  </m:e>
                  <m:sub>
                    <m:r>
                      <m:t>p</m:t>
                    </m:r>
                  </m:sub>
                </m:sSub>
                <m:r>
                  <m:rPr>
                    <m:sty m:val="p"/>
                  </m:rPr>
                  <m:t>−</m:t>
                </m:r>
                <m:r>
                  <m:t>1</m:t>
                </m:r>
              </m:sub>
            </m:sSub>
          </m:e>
        </m:d>
      </m:oMath>
      <w:r>
        <w:t xml:space="preserve">。在闭环执行中，仅执行预先设定的前</w:t>
      </w:r>
      <w:r>
        <w:t xml:space="preserve"> </w:t>
      </w:r>
      <m:oMath>
        <m:sSub>
          <m:e>
            <m:r>
              <m:t>T</m:t>
            </m:r>
          </m:e>
          <m:sub>
            <m:r>
              <m:t>a</m:t>
            </m:r>
          </m:sub>
        </m:sSub>
      </m:oMath>
      <w:r>
        <w:t xml:space="preserve"> </w:t>
      </w:r>
      <w:r>
        <w:t xml:space="preserve">个动作，再获取新的观测进行规划。</w:t>
      </w:r>
      <m:oMath>
        <m:sSub>
          <m:e>
            <m:r>
              <m:t>T</m:t>
            </m:r>
          </m:e>
          <m:sub>
            <m:r>
              <m:t>o</m:t>
            </m:r>
          </m:sub>
        </m:sSub>
      </m:oMath>
      <w:r>
        <w:t xml:space="preserve">、</w:t>
      </w:r>
      <m:oMath>
        <m:sSub>
          <m:e>
            <m:r>
              <m:t>T</m:t>
            </m:r>
          </m:e>
          <m:sub>
            <m:r>
              <m:t>p</m:t>
            </m:r>
          </m:sub>
        </m:sSub>
      </m:oMath>
      <w:r>
        <w:t xml:space="preserve">、</w:t>
      </w:r>
      <m:oMath>
        <m:sSub>
          <m:e>
            <m:r>
              <m:t>T</m:t>
            </m:r>
          </m:e>
          <m:sub>
            <m:r>
              <m:t>a</m:t>
            </m:r>
          </m:sub>
        </m:sSub>
      </m:oMath>
      <w:r>
        <w:t xml:space="preserve"> </w:t>
      </w:r>
      <w:r>
        <w:t xml:space="preserve">和去噪步数均保持与所选 CNN-DP 基线配置一致，以保证对照实验仅比较视觉条件设计。</w:t>
      </w:r>
    </w:p>
    <w:bookmarkEnd w:id="21"/>
    <w:bookmarkStart w:id="25" w:name="双路径几何视觉条件网络"/>
    <w:p>
      <w:pPr>
        <w:pStyle w:val="Heading3"/>
      </w:pPr>
      <w:r>
        <w:t xml:space="preserve">3.2.2 双路径几何视觉条件网络</w:t>
      </w:r>
    </w:p>
    <w:p>
      <w:pPr>
        <w:pStyle w:val="FirstParagraph"/>
      </w:pPr>
      <w:r>
        <w:t xml:space="preserve">GSC-DP 包括共享视觉主干和两个轻量条件分支。RGB 图像经 ResNet18 前若干阶段得到中间特征</w:t>
      </w:r>
      <w:r>
        <w:t xml:space="preserve"> </w:t>
      </w:r>
      <m:oMath>
        <m:sSub>
          <m:e>
            <m:r>
              <m:t>F</m:t>
            </m:r>
          </m:e>
          <m:sub>
            <m:r>
              <m:t>t</m:t>
            </m:r>
          </m:sub>
        </m:sSub>
      </m:oMath>
      <w:r>
        <w:t xml:space="preserve">；经由深度图构建几何先验，并在该特征层通过 GSA 进行特征增强，得到</w:t>
      </w:r>
      <w:r>
        <w:t xml:space="preserve"> </w:t>
      </w:r>
      <m:oMath>
        <m:sSubSup>
          <m:e>
            <m:r>
              <m:t>F</m:t>
            </m:r>
          </m:e>
          <m:sub>
            <m:r>
              <m:t>t</m:t>
            </m:r>
          </m:sub>
          <m:sup>
            <m:r>
              <m:t>g</m:t>
            </m:r>
          </m:sup>
        </m:sSubSup>
      </m:oMath>
      <w:r>
        <w:t xml:space="preserve">。一条分支沿用 ResNet18 后续阶段与原始空间特征聚合接口，得到基础视觉向量</w:t>
      </w:r>
      <w:r>
        <w:t xml:space="preserve"> </w:t>
      </w:r>
      <m:oMath>
        <m:sSubSup>
          <m:e>
            <m:r>
              <m:t>c</m:t>
            </m:r>
          </m:e>
          <m:sub>
            <m:r>
              <m:t>t</m:t>
            </m:r>
          </m:sub>
          <m:sup>
            <m:r>
              <m:t>v</m:t>
            </m:r>
          </m:sup>
        </m:sSubSup>
      </m:oMath>
      <w:r>
        <w:t xml:space="preserve">；另一条分支对同一增强特征</w:t>
      </w:r>
      <w:r>
        <w:t xml:space="preserve"> </w:t>
      </w:r>
      <m:oMath>
        <m:sSubSup>
          <m:e>
            <m:r>
              <m:t>F</m:t>
            </m:r>
          </m:e>
          <m:sub>
            <m:r>
              <m:t>t</m:t>
            </m:r>
          </m:sub>
          <m:sup>
            <m:r>
              <m:t>g</m:t>
            </m:r>
          </m:sup>
        </m:sSubSup>
      </m:oMath>
      <w:r>
        <w:t xml:space="preserve"> </w:t>
      </w:r>
      <w:r>
        <w:t xml:space="preserve">使用 TokenLearner，结合对齐深度图产生少量视觉—几何 Token，经投影后得到几何补充向量</w:t>
      </w:r>
      <w:r>
        <w:t xml:space="preserve"> </w:t>
      </w:r>
      <m:oMath>
        <m:r>
          <m:t>Δ</m:t>
        </m:r>
        <m:sSubSup>
          <m:e>
            <m:r>
              <m:t>c</m:t>
            </m:r>
          </m:e>
          <m:sub>
            <m:r>
              <m:t>t</m:t>
            </m:r>
          </m:sub>
          <m:sup>
            <m:r>
              <m:t>g</m:t>
            </m:r>
          </m:sup>
        </m:sSubSup>
      </m:oMath>
      <w:r>
        <w:t xml:space="preserve">。两路向量以残差形式融合为</w:t>
      </w:r>
      <w:r>
        <w:t xml:space="preserve"> </w:t>
      </w:r>
      <m:oMath>
        <m:sSubSup>
          <m:e>
            <m:r>
              <m:t>c</m:t>
            </m:r>
          </m:e>
          <m:sub>
            <m:r>
              <m:t>t</m:t>
            </m:r>
          </m:sub>
          <m:sup>
            <m:r>
              <m:rPr>
                <m:sty m:val="p"/>
              </m:rPr>
              <m:t>n</m:t>
            </m:r>
            <m:r>
              <m:rPr>
                <m:sty m:val="p"/>
              </m:rPr>
              <m:t>e</m:t>
            </m:r>
            <m:r>
              <m:rPr>
                <m:sty m:val="p"/>
              </m:rPr>
              <m:t>w</m:t>
            </m:r>
          </m:sup>
        </m:sSubSup>
      </m:oMath>
      <w:r>
        <w:t xml:space="preserve">，并与本体状态共同形成扩散策略的观测条件。</w:t>
      </w:r>
    </w:p>
    <w:p>
      <w:pPr>
        <w:pStyle w:val="CaptionedFigure"/>
      </w:pPr>
      <w:r>
        <w:drawing>
          <wp:inline>
            <wp:extent cx="5334000" cy="2368296"/>
            <wp:effectExtent b="0" l="0" r="0" t="0"/>
            <wp:docPr descr="图3-1 GSC-DP总体结构占位图" title="" id="23" name="Picture"/>
            <a:graphic>
              <a:graphicData uri="http://schemas.openxmlformats.org/drawingml/2006/picture">
                <pic:pic>
                  <pic:nvPicPr>
                    <pic:cNvPr descr="figures/fig3_1_arch.png" id="24" name="Picture"/>
                    <pic:cNvPicPr>
                      <a:picLocks noChangeArrowheads="1" noChangeAspect="1"/>
                    </pic:cNvPicPr>
                  </pic:nvPicPr>
                  <pic:blipFill>
                    <a:blip r:embed="rId22"/>
                    <a:stretch>
                      <a:fillRect/>
                    </a:stretch>
                  </pic:blipFill>
                  <pic:spPr bwMode="auto">
                    <a:xfrm>
                      <a:off x="0" y="0"/>
                      <a:ext cx="5334000" cy="2368296"/>
                    </a:xfrm>
                    <a:prstGeom prst="rect">
                      <a:avLst/>
                    </a:prstGeom>
                    <a:noFill/>
                    <a:ln w="9525">
                      <a:noFill/>
                      <a:headEnd/>
                      <a:tailEnd/>
                    </a:ln>
                  </pic:spPr>
                </pic:pic>
              </a:graphicData>
            </a:graphic>
          </wp:inline>
        </w:drawing>
      </w:r>
    </w:p>
    <w:p>
      <w:pPr>
        <w:pStyle w:val="ImageCaption"/>
      </w:pPr>
      <w:r>
        <w:t xml:space="preserve">图3-1 GSC-DP总体结构占位图</w:t>
      </w:r>
    </w:p>
    <w:p>
      <w:pPr>
        <w:pStyle w:val="BodyText"/>
      </w:pPr>
      <w:r>
        <w:rPr>
          <w:b/>
          <w:bCs/>
        </w:rPr>
        <w:t xml:space="preserve">图3-1 GSC-DP 总体网络架构（示意占位图，正式作图时补充实际层名、参数与张量尺寸）</w:t>
      </w:r>
    </w:p>
    <w:p>
      <w:pPr>
        <w:pStyle w:val="BodyText"/>
      </w:pPr>
      <w:r>
        <w:t xml:space="preserve">设计中将 TokenLearner 放在</w:t>
      </w:r>
      <w:r>
        <w:t xml:space="preserve"> </w:t>
      </w:r>
      <m:oMath>
        <m:sSubSup>
          <m:e>
            <m:r>
              <m:t>F</m:t>
            </m:r>
          </m:e>
          <m:sub>
            <m:r>
              <m:t>t</m:t>
            </m:r>
          </m:sub>
          <m:sup>
            <m:r>
              <m:t>g</m:t>
            </m:r>
          </m:sup>
        </m:sSubSup>
      </m:oMath>
      <w:r>
        <w:t xml:space="preserve"> </w:t>
      </w:r>
      <w:r>
        <w:t xml:space="preserve">所在的中间分辨率特征图上，而非直接放在 ResNet18 最后的极低分辨率输出上。一方面，在</w:t>
      </w:r>
      <w:r>
        <w:t xml:space="preserve"> </w:t>
      </w:r>
      <m:oMath>
        <m:r>
          <m:t>12</m:t>
        </m:r>
        <m:r>
          <m:rPr>
            <m:sty m:val="p"/>
          </m:rPr>
          <m:t>×</m:t>
        </m:r>
        <m:r>
          <m:t>12</m:t>
        </m:r>
      </m:oMath>
      <w:r>
        <w:t xml:space="preserve"> </w:t>
      </w:r>
      <w:r>
        <w:t xml:space="preserve">等特征分辨率下仍存在足够的空间位置可供选择；另一方面，避免为几何 Token 再建立一条重型视觉主干。视觉编码过程每次规划只执行一次，所得条件供后续各去噪时间步复用。</w:t>
      </w:r>
    </w:p>
    <w:bookmarkEnd w:id="25"/>
    <w:bookmarkStart w:id="26" w:name="信息流与模块职责"/>
    <w:p>
      <w:pPr>
        <w:pStyle w:val="Heading3"/>
      </w:pPr>
      <w:r>
        <w:t xml:space="preserve">3.2.3 信息流与模块职责</w:t>
      </w:r>
    </w:p>
    <w:p>
      <w:pPr>
        <w:pStyle w:val="FirstParagraph"/>
      </w:pPr>
      <w:r>
        <w:t xml:space="preserve">本章所用的三个处理环节承担不同功能。GSA 通过深度差与空间距离调节视觉位置之间的注意力，着重于</w:t>
      </w:r>
      <w:r>
        <w:rPr>
          <w:b/>
          <w:bCs/>
        </w:rPr>
        <w:t xml:space="preserve">特征交互</w:t>
      </w:r>
      <w:r>
        <w:t xml:space="preserve">；TokenLearner 根据任务损失学习少量空间权重，着重于</w:t>
      </w:r>
      <w:r>
        <w:rPr>
          <w:b/>
          <w:bCs/>
        </w:rPr>
        <w:t xml:space="preserve">特征选择与聚合</w:t>
      </w:r>
      <w:r>
        <w:t xml:space="preserve">；几何条件映射负责将所选局部区域的图像位置和深度描述统一转为扩散网络能够接收的固定维度条件，着重于</w:t>
      </w:r>
      <w:r>
        <w:rPr>
          <w:b/>
          <w:bCs/>
        </w:rPr>
        <w:t xml:space="preserve">条件适配</w:t>
      </w:r>
      <w:r>
        <w:t xml:space="preserve">。三者的串联关系由输入输出数据结构确定，并不预设任何模块必然提高任务成功率。</w:t>
      </w:r>
    </w:p>
    <w:p>
      <w:pPr>
        <w:pStyle w:val="BodyText"/>
      </w:pPr>
      <w:r>
        <w:rPr>
          <w:b/>
          <w:bCs/>
        </w:rPr>
        <w:t xml:space="preserve">表3-1 模块输入输出与研究属性</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模块</w:t>
            </w:r>
          </w:p>
        </w:tc>
        <w:tc>
          <w:tcPr/>
          <w:p>
            <w:pPr>
              <w:pStyle w:val="Compact"/>
              <w:jc w:val="left"/>
            </w:pPr>
            <w:r>
              <w:t xml:space="preserve">输入</w:t>
            </w:r>
          </w:p>
        </w:tc>
        <w:tc>
          <w:tcPr/>
          <w:p>
            <w:pPr>
              <w:pStyle w:val="Compact"/>
              <w:jc w:val="left"/>
            </w:pPr>
            <w:r>
              <w:t xml:space="preserve">输出</w:t>
            </w:r>
          </w:p>
        </w:tc>
        <w:tc>
          <w:tcPr/>
          <w:p>
            <w:pPr>
              <w:pStyle w:val="Compact"/>
              <w:jc w:val="left"/>
            </w:pPr>
            <w:r>
              <w:t xml:space="preserve">技术来源及本章适配内容</w:t>
            </w:r>
          </w:p>
        </w:tc>
      </w:tr>
      <w:tr>
        <w:tc>
          <w:tcPr/>
          <w:p>
            <w:pPr>
              <w:pStyle w:val="Compact"/>
              <w:jc w:val="left"/>
            </w:pPr>
            <w:r>
              <w:t xml:space="preserve">ResNet18 前段</w:t>
            </w:r>
          </w:p>
        </w:tc>
        <w:tc>
          <w:tcPr/>
          <w:p>
            <w:pPr>
              <w:pStyle w:val="Compact"/>
              <w:jc w:val="left"/>
            </w:pPr>
            <w:r>
              <w:t xml:space="preserve">RGB 图像</w:t>
            </w:r>
          </w:p>
        </w:tc>
        <w:tc>
          <w:tcPr/>
          <w:p>
            <w:pPr>
              <w:pStyle w:val="Compact"/>
              <w:jc w:val="left"/>
            </w:pPr>
            <w:r>
              <w:t xml:space="preserve">中间特征</w:t>
            </w:r>
            <w:r>
              <w:t xml:space="preserve"> </w:t>
            </w:r>
            <m:oMath>
              <m:sSub>
                <m:e>
                  <m:r>
                    <m:t>F</m:t>
                  </m:r>
                </m:e>
                <m:sub>
                  <m:r>
                    <m:t>t</m:t>
                  </m:r>
                </m:sub>
              </m:sSub>
            </m:oMath>
          </w:p>
        </w:tc>
        <w:tc>
          <w:tcPr/>
          <w:p>
            <w:pPr>
              <w:pStyle w:val="Compact"/>
              <w:jc w:val="left"/>
            </w:pPr>
            <w:r>
              <w:t xml:space="preserve">已有主干；选择适宜的插入阶段</w:t>
            </w:r>
          </w:p>
        </w:tc>
      </w:tr>
      <w:tr>
        <w:tc>
          <w:tcPr/>
          <w:p>
            <w:pPr>
              <w:pStyle w:val="Compact"/>
              <w:jc w:val="left"/>
            </w:pPr>
            <w:r>
              <w:t xml:space="preserve">GSA 几何增强</w:t>
            </w:r>
          </w:p>
        </w:tc>
        <w:tc>
          <w:tcPr/>
          <w:p>
            <w:pPr>
              <w:pStyle w:val="Compact"/>
              <w:jc w:val="left"/>
            </w:pPr>
            <m:oMath>
              <m:sSub>
                <m:e>
                  <m:r>
                    <m:t>F</m:t>
                  </m:r>
                </m:e>
                <m:sub>
                  <m:r>
                    <m:t>t</m:t>
                  </m:r>
                </m:sub>
              </m:sSub>
            </m:oMath>
            <w:r>
              <w:t xml:space="preserve">、深度图</w:t>
            </w:r>
          </w:p>
        </w:tc>
        <w:tc>
          <w:tcPr/>
          <w:p>
            <w:pPr>
              <w:pStyle w:val="Compact"/>
              <w:jc w:val="left"/>
            </w:pPr>
            <w:r>
              <w:t xml:space="preserve">增强特征</w:t>
            </w:r>
            <w:r>
              <w:t xml:space="preserve"> </w:t>
            </w:r>
            <m:oMath>
              <m:sSubSup>
                <m:e>
                  <m:r>
                    <m:t>F</m:t>
                  </m:r>
                </m:e>
                <m:sub>
                  <m:r>
                    <m:t>t</m:t>
                  </m:r>
                </m:sub>
                <m:sup>
                  <m:r>
                    <m:t>g</m:t>
                  </m:r>
                </m:sup>
              </m:sSubSup>
            </m:oMath>
          </w:p>
        </w:tc>
        <w:tc>
          <w:tcPr/>
          <w:p>
            <w:pPr>
              <w:pStyle w:val="Compact"/>
              <w:jc w:val="left"/>
            </w:pPr>
            <w:r>
              <w:t xml:space="preserve">DFormerv2；单层低分辨率残差接入</w:t>
            </w:r>
          </w:p>
        </w:tc>
      </w:tr>
      <w:tr>
        <w:tc>
          <w:tcPr/>
          <w:p>
            <w:pPr>
              <w:pStyle w:val="Compact"/>
              <w:jc w:val="left"/>
            </w:pPr>
            <w:r>
              <w:t xml:space="preserve">原始视觉路径</w:t>
            </w:r>
          </w:p>
        </w:tc>
        <w:tc>
          <w:tcPr/>
          <w:p>
            <w:pPr>
              <w:pStyle w:val="Compact"/>
              <w:jc w:val="left"/>
            </w:pPr>
            <m:oMath>
              <m:sSubSup>
                <m:e>
                  <m:r>
                    <m:t>F</m:t>
                  </m:r>
                </m:e>
                <m:sub>
                  <m:r>
                    <m:t>t</m:t>
                  </m:r>
                </m:sub>
                <m:sup>
                  <m:r>
                    <m:t>g</m:t>
                  </m:r>
                </m:sup>
              </m:sSubSup>
            </m:oMath>
          </w:p>
        </w:tc>
        <w:tc>
          <w:tcPr/>
          <w:p>
            <w:pPr>
              <w:pStyle w:val="Compact"/>
              <w:jc w:val="left"/>
            </w:pPr>
            <w:r>
              <w:t xml:space="preserve">基础视觉向量</w:t>
            </w:r>
            <w:r>
              <w:t xml:space="preserve"> </w:t>
            </w:r>
            <m:oMath>
              <m:sSubSup>
                <m:e>
                  <m:r>
                    <m:t>c</m:t>
                  </m:r>
                </m:e>
                <m:sub>
                  <m:r>
                    <m:t>t</m:t>
                  </m:r>
                </m:sub>
                <m:sup>
                  <m:r>
                    <m:t>v</m:t>
                  </m:r>
                </m:sup>
              </m:sSubSup>
            </m:oMath>
          </w:p>
        </w:tc>
        <w:tc>
          <w:tcPr/>
          <w:p>
            <w:pPr>
              <w:pStyle w:val="Compact"/>
              <w:jc w:val="left"/>
            </w:pPr>
            <w:r>
              <w:t xml:space="preserve">沿用基线后续视觉聚合</w:t>
            </w:r>
          </w:p>
        </w:tc>
      </w:tr>
      <w:tr>
        <w:tc>
          <w:tcPr/>
          <w:p>
            <w:pPr>
              <w:pStyle w:val="Compact"/>
              <w:jc w:val="left"/>
            </w:pPr>
            <w:r>
              <w:t xml:space="preserve">TokenLearner</w:t>
            </w:r>
          </w:p>
        </w:tc>
        <w:tc>
          <w:tcPr/>
          <w:p>
            <w:pPr>
              <w:pStyle w:val="Compact"/>
              <w:jc w:val="left"/>
            </w:pPr>
            <m:oMath>
              <m:sSubSup>
                <m:e>
                  <m:r>
                    <m:t>F</m:t>
                  </m:r>
                </m:e>
                <m:sub>
                  <m:r>
                    <m:t>t</m:t>
                  </m:r>
                </m:sub>
                <m:sup>
                  <m:r>
                    <m:t>g</m:t>
                  </m:r>
                </m:sup>
              </m:sSubSup>
            </m:oMath>
          </w:p>
        </w:tc>
        <w:tc>
          <w:tcPr/>
          <w:p>
            <w:pPr>
              <w:pStyle w:val="Compact"/>
              <w:jc w:val="left"/>
            </w:pPr>
            <m:oMath>
              <m:r>
                <m:t>K</m:t>
              </m:r>
            </m:oMath>
            <w:r>
              <w:t xml:space="preserve"> </w:t>
            </w:r>
            <w:r>
              <w:t xml:space="preserve">个视觉 Token 及权重图</w:t>
            </w:r>
          </w:p>
        </w:tc>
        <w:tc>
          <w:tcPr/>
          <w:p>
            <w:pPr>
              <w:pStyle w:val="Compact"/>
              <w:jc w:val="left"/>
            </w:pPr>
            <w:r>
              <w:t xml:space="preserve">已有空间 Token 机制</w:t>
            </w:r>
          </w:p>
        </w:tc>
      </w:tr>
      <w:tr>
        <w:tc>
          <w:tcPr/>
          <w:p>
            <w:pPr>
              <w:pStyle w:val="Compact"/>
              <w:jc w:val="left"/>
            </w:pPr>
            <w:r>
              <w:t xml:space="preserve">深度关联计算</w:t>
            </w:r>
          </w:p>
        </w:tc>
        <w:tc>
          <w:tcPr/>
          <w:p>
            <w:pPr>
              <w:pStyle w:val="Compact"/>
              <w:jc w:val="left"/>
            </w:pPr>
            <w:r>
              <w:t xml:space="preserve">Token 权重图、Depth、有效掩码</w:t>
            </w:r>
          </w:p>
        </w:tc>
        <w:tc>
          <w:tcPr/>
          <w:p>
            <w:pPr>
              <w:pStyle w:val="Compact"/>
              <w:jc w:val="left"/>
            </w:pPr>
            <m:oMath>
              <m:d>
                <m:dPr>
                  <m:begChr m:val="("/>
                  <m:endChr m:val=")"/>
                  <m:sepChr m:val=""/>
                  <m:grow/>
                </m:dPr>
                <m:e>
                  <m:acc>
                    <m:accPr>
                      <m:chr m:val="‾"/>
                    </m:accPr>
                    <m:e>
                      <m:r>
                        <m:t>u</m:t>
                      </m:r>
                    </m:e>
                  </m:acc>
                  <m:r>
                    <m:rPr>
                      <m:sty m:val="p"/>
                    </m:rPr>
                    <m:t>,</m:t>
                  </m:r>
                  <m:acc>
                    <m:accPr>
                      <m:chr m:val="‾"/>
                    </m:accPr>
                    <m:e>
                      <m:r>
                        <m:t>v</m:t>
                      </m:r>
                    </m:e>
                  </m:acc>
                  <m:r>
                    <m:rPr>
                      <m:sty m:val="p"/>
                    </m:rPr>
                    <m:t>,</m:t>
                  </m:r>
                  <m:acc>
                    <m:accPr>
                      <m:chr m:val="‾"/>
                    </m:accPr>
                    <m:e>
                      <m:r>
                        <m:t>d</m:t>
                      </m:r>
                    </m:e>
                  </m:acc>
                  <m:r>
                    <m:rPr>
                      <m:sty m:val="p"/>
                    </m:rPr>
                    <m:t>,</m:t>
                  </m:r>
                  <m:r>
                    <m:t>ρ</m:t>
                  </m:r>
                </m:e>
              </m:d>
            </m:oMath>
          </w:p>
        </w:tc>
        <w:tc>
          <w:tcPr/>
          <w:p>
            <w:pPr>
              <w:pStyle w:val="Compact"/>
              <w:jc w:val="left"/>
            </w:pPr>
            <w:r>
              <w:t xml:space="preserve">本章的 Token 结构适配</w:t>
            </w:r>
          </w:p>
        </w:tc>
      </w:tr>
      <w:tr>
        <w:tc>
          <w:tcPr/>
          <w:p>
            <w:pPr>
              <w:pStyle w:val="Compact"/>
              <w:jc w:val="left"/>
            </w:pPr>
            <w:r>
              <w:t xml:space="preserve">几何条件投影</w:t>
            </w:r>
          </w:p>
        </w:tc>
        <w:tc>
          <w:tcPr/>
          <w:p>
            <w:pPr>
              <w:pStyle w:val="Compact"/>
              <w:jc w:val="left"/>
            </w:pPr>
            <w:r>
              <w:t xml:space="preserve">联合 Token</w:t>
            </w:r>
          </w:p>
        </w:tc>
        <w:tc>
          <w:tcPr/>
          <w:p>
            <w:pPr>
              <w:pStyle w:val="Compact"/>
              <w:jc w:val="left"/>
            </w:pPr>
            <m:oMath>
              <m:r>
                <m:t>Δ</m:t>
              </m:r>
              <m:sSubSup>
                <m:e>
                  <m:r>
                    <m:t>c</m:t>
                  </m:r>
                </m:e>
                <m:sub>
                  <m:r>
                    <m:t>t</m:t>
                  </m:r>
                </m:sub>
                <m:sup>
                  <m:r>
                    <m:t>g</m:t>
                  </m:r>
                </m:sup>
              </m:sSubSup>
            </m:oMath>
          </w:p>
        </w:tc>
        <w:tc>
          <w:tcPr/>
          <w:p>
            <w:pPr>
              <w:pStyle w:val="Compact"/>
              <w:jc w:val="left"/>
            </w:pPr>
            <w:r>
              <w:t xml:space="preserve">维度映射及残差融合</w:t>
            </w:r>
          </w:p>
        </w:tc>
      </w:tr>
      <w:tr>
        <w:tc>
          <w:tcPr/>
          <w:p>
            <w:pPr>
              <w:pStyle w:val="Compact"/>
              <w:jc w:val="left"/>
            </w:pPr>
            <w:r>
              <w:t xml:space="preserve">Conditional 1D U-Net</w:t>
            </w:r>
          </w:p>
        </w:tc>
        <w:tc>
          <w:tcPr/>
          <w:p>
            <w:pPr>
              <w:pStyle w:val="Compact"/>
              <w:jc w:val="left"/>
            </w:pPr>
            <w:r>
              <w:t xml:space="preserve">带噪动作、扩散步、观测条件</w:t>
            </w:r>
          </w:p>
        </w:tc>
        <w:tc>
          <w:tcPr/>
          <w:p>
            <w:pPr>
              <w:pStyle w:val="Compact"/>
              <w:jc w:val="left"/>
            </w:pPr>
            <w:r>
              <w:t xml:space="preserve">噪声或样本预测</w:t>
            </w:r>
          </w:p>
        </w:tc>
        <w:tc>
          <w:tcPr/>
          <w:p>
            <w:pPr>
              <w:pStyle w:val="Compact"/>
              <w:jc w:val="left"/>
            </w:pPr>
            <w:r>
              <w:t xml:space="preserve">保留原始 CNN-DP</w:t>
            </w:r>
          </w:p>
        </w:tc>
      </w:tr>
    </w:tbl>
    <w:bookmarkEnd w:id="26"/>
    <w:bookmarkEnd w:id="27"/>
    <w:bookmarkStart w:id="38" w:name="轻量化深度几何注意力视觉编码"/>
    <w:p>
      <w:pPr>
        <w:pStyle w:val="Heading2"/>
      </w:pPr>
      <w:r>
        <w:t xml:space="preserve">3.3 轻量化深度几何注意力视觉编码</w:t>
      </w:r>
    </w:p>
    <w:bookmarkStart w:id="28" w:name="标准-rgb-视觉编码与问题分析"/>
    <w:p>
      <w:pPr>
        <w:pStyle w:val="Heading3"/>
      </w:pPr>
      <w:r>
        <w:t xml:space="preserve">3.3.1 标准 RGB 视觉编码与问题分析</w:t>
      </w:r>
    </w:p>
    <w:p>
      <w:pPr>
        <w:pStyle w:val="FirstParagraph"/>
      </w:pPr>
      <w:r>
        <w:t xml:space="preserve">在原始 CNN-DP 中，ResNet18 将输入图像映射为多通道空间特征。对于某一中间阶段，其输出可记为</w:t>
      </w:r>
    </w:p>
    <w:p>
      <w:pPr>
        <w:pStyle w:val="BodyText"/>
      </w:pPr>
      <m:oMathPara>
        <m:oMathParaPr>
          <m:jc m:val="center"/>
        </m:oMathParaPr>
        <m:oMath>
          <m:sSub>
            <m:e>
              <m:r>
                <m:t>F</m:t>
              </m:r>
            </m:e>
            <m:sub>
              <m:r>
                <m:t>t</m:t>
              </m:r>
            </m:sub>
          </m:sSub>
          <m:r>
            <m:rPr>
              <m:sty m:val="p"/>
            </m:rPr>
            <m:t>=</m:t>
          </m:r>
          <m:sSub>
            <m:e>
              <m:r>
                <m:t>E</m:t>
              </m:r>
            </m:e>
            <m:sub>
              <m:r>
                <m:rPr>
                  <m:sty m:val="p"/>
                </m:rPr>
                <m:t>p</m:t>
              </m:r>
              <m:r>
                <m:rPr>
                  <m:sty m:val="p"/>
                </m:rPr>
                <m:t>r</m:t>
              </m:r>
              <m:r>
                <m:rPr>
                  <m:sty m:val="p"/>
                </m:rPr>
                <m:t>e</m:t>
              </m:r>
            </m:sub>
          </m:sSub>
          <m:d>
            <m:dPr>
              <m:begChr m:val="("/>
              <m:endChr m:val=")"/>
              <m:sepChr m:val=""/>
              <m:grow/>
            </m:dPr>
            <m:e>
              <m:sSub>
                <m:e>
                  <m:r>
                    <m:t>I</m:t>
                  </m:r>
                </m:e>
                <m:sub>
                  <m:r>
                    <m:t>t</m:t>
                  </m:r>
                </m:sub>
              </m:sSub>
            </m:e>
          </m:d>
          <m:r>
            <m:rPr>
              <m:sty m:val="p"/>
            </m:rPr>
            <m:t>∈</m:t>
          </m:r>
          <m:sSup>
            <m:e>
              <m:r>
                <m:rPr>
                  <m:sty m:val="p"/>
                  <m:scr m:val="double-struck"/>
                </m:rPr>
                <m:t>R</m:t>
              </m:r>
            </m:e>
            <m:sup>
              <m:r>
                <m:t>C</m:t>
              </m:r>
              <m:r>
                <m:rPr>
                  <m:sty m:val="p"/>
                </m:rPr>
                <m:t>×</m:t>
              </m:r>
              <m:r>
                <m:t>h</m:t>
              </m:r>
              <m:r>
                <m:rPr>
                  <m:sty m:val="p"/>
                </m:rPr>
                <m:t>×</m:t>
              </m:r>
              <m:r>
                <m:t>w</m:t>
              </m:r>
            </m:sup>
          </m:sSup>
          <m:r>
            <m:rPr>
              <m:sty m:val="p"/>
            </m:rPr>
            <m:t>,</m:t>
          </m:r>
        </m:oMath>
      </m:oMathPara>
    </w:p>
    <w:p>
      <w:pPr>
        <w:pStyle w:val="FirstParagraph"/>
      </w:pPr>
      <w:r>
        <w:t xml:space="preserve">其中</w:t>
      </w:r>
      <w:r>
        <w:t xml:space="preserve"> </w:t>
      </w:r>
      <m:oMath>
        <m:sSub>
          <m:e>
            <m:r>
              <m:t>E</m:t>
            </m:r>
          </m:e>
          <m:sub>
            <m:r>
              <m:rPr>
                <m:sty m:val="p"/>
              </m:rPr>
              <m:t>p</m:t>
            </m:r>
            <m:r>
              <m:rPr>
                <m:sty m:val="p"/>
              </m:rPr>
              <m:t>r</m:t>
            </m:r>
            <m:r>
              <m:rPr>
                <m:sty m:val="p"/>
              </m:rPr>
              <m:t>e</m:t>
            </m:r>
          </m:sub>
        </m:sSub>
      </m:oMath>
      <w:r>
        <w:t xml:space="preserve"> </w:t>
      </w:r>
      <w:r>
        <w:t xml:space="preserve">为 ResNet18 前段结构，</w:t>
      </w:r>
      <m:oMath>
        <m:r>
          <m:t>C</m:t>
        </m:r>
      </m:oMath>
      <w:r>
        <w:t xml:space="preserve"> </w:t>
      </w:r>
      <w:r>
        <w:t xml:space="preserve">为通道数，</w:t>
      </w:r>
      <m:oMath>
        <m:r>
          <m:t>h</m:t>
        </m:r>
        <m:r>
          <m:rPr>
            <m:sty m:val="p"/>
          </m:rPr>
          <m:t>,</m:t>
        </m:r>
        <m:r>
          <m:t>w</m:t>
        </m:r>
      </m:oMath>
      <w:r>
        <w:t xml:space="preserve"> </w:t>
      </w:r>
      <w:r>
        <w:t xml:space="preserve">为特征图尺寸。RGB 特征能够表示局部纹理、轮廓及语义线索，但其中是否包含可靠的物理距离信息取决于训练数据和模型的间接推断。对于近距离抓取、工具操作和精细放置任务，显式使用深度测量可能有助于区分物体表面和背景，并对相邻区域的空间几何关系进行建模。</w:t>
      </w:r>
    </w:p>
    <w:p>
      <w:pPr>
        <w:pStyle w:val="BodyText"/>
      </w:pPr>
      <w:r>
        <w:t xml:space="preserve">普通自注意力通过 Query、Key 和 Value 的相似性计算注意力权重：</w:t>
      </w:r>
    </w:p>
    <w:p>
      <w:pPr>
        <w:pStyle w:val="BodyText"/>
      </w:pPr>
      <m:oMathPara>
        <m:oMathParaPr>
          <m:jc m:val="center"/>
        </m:oMathParaPr>
        <m:oMath>
          <m:r>
            <m:t>Q</m:t>
          </m:r>
          <m:r>
            <m:rPr>
              <m:sty m:val="p"/>
            </m:rPr>
            <m:t>=</m:t>
          </m:r>
          <m:r>
            <m:t>F</m:t>
          </m:r>
          <m:sSub>
            <m:e>
              <m:r>
                <m:t>W</m:t>
              </m:r>
            </m:e>
            <m:sub>
              <m:r>
                <m:t>Q</m:t>
              </m:r>
            </m:sub>
          </m:sSub>
          <m:r>
            <m:rPr>
              <m:sty m:val="p"/>
            </m:rPr>
            <m:t>,</m:t>
          </m:r>
          <m:r>
            <m:t> </m:t>
          </m:r>
          <m:r>
            <m:t>K</m:t>
          </m:r>
          <m:r>
            <m:rPr>
              <m:sty m:val="p"/>
            </m:rPr>
            <m:t>=</m:t>
          </m:r>
          <m:r>
            <m:t>F</m:t>
          </m:r>
          <m:sSub>
            <m:e>
              <m:r>
                <m:t>W</m:t>
              </m:r>
            </m:e>
            <m:sub>
              <m:r>
                <m:t>K</m:t>
              </m:r>
            </m:sub>
          </m:sSub>
          <m:r>
            <m:rPr>
              <m:sty m:val="p"/>
            </m:rPr>
            <m:t>,</m:t>
          </m:r>
          <m:r>
            <m:t> </m:t>
          </m:r>
          <m:r>
            <m:t>V</m:t>
          </m:r>
          <m:r>
            <m:rPr>
              <m:sty m:val="p"/>
            </m:rPr>
            <m:t>=</m:t>
          </m:r>
          <m:r>
            <m:t>F</m:t>
          </m:r>
          <m:sSub>
            <m:e>
              <m:r>
                <m:t>W</m:t>
              </m:r>
            </m:e>
            <m:sub>
              <m:r>
                <m:t>V</m:t>
              </m:r>
            </m:sub>
          </m:sSub>
          <m:r>
            <m:rPr>
              <m:sty m:val="p"/>
            </m:rPr>
            <m:t>,</m:t>
          </m:r>
        </m:oMath>
      </m:oMathPara>
    </w:p>
    <w:p>
      <w:pPr>
        <w:pStyle w:val="FirstParagraph"/>
      </w:pPr>
      <m:oMathPara>
        <m:oMathParaPr>
          <m:jc m:val="center"/>
        </m:oMathParaPr>
        <m:oMath>
          <m:r>
            <m:t>A</m:t>
          </m:r>
          <m:r>
            <m:rPr>
              <m:sty m:val="p"/>
            </m:rPr>
            <m:t>=</m:t>
          </m:r>
          <m:r>
            <m:rPr>
              <m:sty m:val="p"/>
            </m:rPr>
            <m:t>Softmax</m:t>
          </m:r>
          <m:d>
            <m:dPr>
              <m:begChr m:val="("/>
              <m:endChr m:val=")"/>
              <m:sepChr m:val=""/>
              <m:grow/>
            </m:dPr>
            <m:e>
              <m:f>
                <m:fPr>
                  <m:type m:val="bar"/>
                </m:fPr>
                <m:num>
                  <m:r>
                    <m:t>Q</m:t>
                  </m:r>
                  <m:sSup>
                    <m:e>
                      <m:r>
                        <m:t>K</m:t>
                      </m:r>
                    </m:e>
                    <m:sup>
                      <m:r>
                        <m:rPr>
                          <m:sty m:val="p"/>
                        </m:rPr>
                        <m:t>⊤</m:t>
                      </m:r>
                    </m:sup>
                  </m:sSup>
                </m:num>
                <m:den>
                  <m:rad>
                    <m:radPr>
                      <m:degHide m:val="on"/>
                    </m:radPr>
                    <m:deg/>
                    <m:e>
                      <m:r>
                        <m:t>d</m:t>
                      </m:r>
                    </m:e>
                  </m:rad>
                </m:den>
              </m:f>
            </m:e>
          </m:d>
          <m:r>
            <m:rPr>
              <m:sty m:val="p"/>
            </m:rPr>
            <m:t>,</m:t>
          </m:r>
          <m:r>
            <m:t>  </m:t>
          </m:r>
          <m:r>
            <m:t>Y</m:t>
          </m:r>
          <m:r>
            <m:rPr>
              <m:sty m:val="p"/>
            </m:rPr>
            <m:t>=</m:t>
          </m:r>
          <m:r>
            <m:t>A</m:t>
          </m:r>
          <m:r>
            <m:t>V</m:t>
          </m:r>
          <m:r>
            <m:rPr>
              <m:sty m:val="p"/>
            </m:rPr>
            <m:t>.</m:t>
          </m:r>
        </m:oMath>
      </m:oMathPara>
    </w:p>
    <w:p>
      <w:pPr>
        <w:pStyle w:val="FirstParagraph"/>
      </w:pPr>
      <w:r>
        <w:t xml:space="preserve">公式（3-4）用于说明标准注意力的基本形式，并非原始 ResNet18 已包含全局自注意力。在本章设计中，只有被插入的 GSA 模块需要执行相应的注意力计算。仅依靠特征相似性时，空间距离与表面深度差无法直接作为独立约束进入注意力权重，因此考虑引入几何先验。</w:t>
      </w:r>
    </w:p>
    <w:bookmarkEnd w:id="28"/>
    <w:bookmarkStart w:id="32" w:name="dformerv2-的几何先验构造"/>
    <w:p>
      <w:pPr>
        <w:pStyle w:val="Heading3"/>
      </w:pPr>
      <w:r>
        <w:t xml:space="preserve">3.3.2 DFormerv2 的几何先验构造</w:t>
      </w:r>
    </w:p>
    <w:p>
      <w:pPr>
        <w:pStyle w:val="FirstParagraph"/>
      </w:pPr>
      <w:r>
        <w:t xml:space="preserve">DFormerv2 将深度图视为 RGB 特征的几何补充[2]。设与特征网格对齐的深度值为</w:t>
      </w:r>
      <w:r>
        <w:t xml:space="preserve"> </w:t>
      </w:r>
      <m:oMath>
        <m:sSub>
          <m:e>
            <m:r>
              <m:t>d</m:t>
            </m:r>
          </m:e>
          <m:sub>
            <m:r>
              <m:t>i</m:t>
            </m:r>
          </m:sub>
        </m:sSub>
      </m:oMath>
      <w:r>
        <w:t xml:space="preserve">，位置索引为</w:t>
      </w:r>
      <w:r>
        <w:t xml:space="preserve"> </w:t>
      </w:r>
      <m:oMath>
        <m:sSub>
          <m:e>
            <m:r>
              <m:t>p</m:t>
            </m:r>
          </m:e>
          <m:sub>
            <m:r>
              <m:t>i</m:t>
            </m:r>
          </m:sub>
        </m:sSub>
        <m:r>
          <m:rPr>
            <m:sty m:val="p"/>
          </m:rPr>
          <m:t>=</m:t>
        </m:r>
        <m:d>
          <m:dPr>
            <m:begChr m:val="("/>
            <m:endChr m:val=")"/>
            <m:sepChr m:val=""/>
            <m:grow/>
          </m:dPr>
          <m:e>
            <m:sSub>
              <m:e>
                <m:r>
                  <m:t>x</m:t>
                </m:r>
              </m:e>
              <m:sub>
                <m:r>
                  <m:t>i</m:t>
                </m:r>
              </m:sub>
            </m:sSub>
            <m:r>
              <m:rPr>
                <m:sty m:val="p"/>
              </m:rPr>
              <m:t>,</m:t>
            </m:r>
            <m:sSub>
              <m:e>
                <m:r>
                  <m:t>y</m:t>
                </m:r>
              </m:e>
              <m:sub>
                <m:r>
                  <m:t>i</m:t>
                </m:r>
              </m:sub>
            </m:sSub>
          </m:e>
        </m:d>
      </m:oMath>
      <w:r>
        <w:t xml:space="preserve">，可定义位置</w:t>
      </w:r>
      <w:r>
        <w:t xml:space="preserve"> </w:t>
      </w:r>
      <m:oMath>
        <m:r>
          <m:t>i</m:t>
        </m:r>
      </m:oMath>
      <w:r>
        <w:t xml:space="preserve"> </w:t>
      </w:r>
      <w:r>
        <w:t xml:space="preserve">与</w:t>
      </w:r>
      <w:r>
        <w:t xml:space="preserve"> </w:t>
      </w:r>
      <m:oMath>
        <m:r>
          <m:t>j</m:t>
        </m:r>
      </m:oMath>
      <w:r>
        <w:t xml:space="preserve"> </w:t>
      </w:r>
      <w:r>
        <w:t xml:space="preserve">的深度差和二维网格距离：</w:t>
      </w:r>
    </w:p>
    <w:p>
      <w:pPr>
        <w:pStyle w:val="BodyText"/>
      </w:pPr>
      <m:oMathPara>
        <m:oMathParaPr>
          <m:jc m:val="center"/>
        </m:oMathParaPr>
        <m:oMath>
          <m:r>
            <m:t>Δ</m:t>
          </m:r>
          <m:sSub>
            <m:e>
              <m:r>
                <m:t>d</m:t>
              </m:r>
            </m:e>
            <m:sub>
              <m:r>
                <m:t>i</m:t>
              </m:r>
              <m:r>
                <m:t>j</m:t>
              </m:r>
            </m:sub>
          </m:sSub>
          <m:r>
            <m:rPr>
              <m:sty m:val="p"/>
            </m:rPr>
            <m:t>=</m:t>
          </m:r>
          <m:d>
            <m:dPr>
              <m:begChr m:val="|"/>
              <m:endChr m:val="|"/>
              <m:sepChr m:val=""/>
              <m:grow/>
            </m:dPr>
            <m:e>
              <m:sSub>
                <m:e>
                  <m:r>
                    <m:t>d</m:t>
                  </m:r>
                </m:e>
                <m:sub>
                  <m:r>
                    <m:t>i</m:t>
                  </m:r>
                </m:sub>
              </m:sSub>
              <m:r>
                <m:rPr>
                  <m:sty m:val="p"/>
                </m:rPr>
                <m:t>−</m:t>
              </m:r>
              <m:sSub>
                <m:e>
                  <m:r>
                    <m:t>d</m:t>
                  </m:r>
                </m:e>
                <m:sub>
                  <m:r>
                    <m:t>j</m:t>
                  </m:r>
                </m:sub>
              </m:sSub>
            </m:e>
          </m:d>
          <m:r>
            <m:rPr>
              <m:sty m:val="p"/>
            </m:rPr>
            <m:t>,</m:t>
          </m:r>
          <m:r>
            <m:t>  </m:t>
          </m:r>
          <m:r>
            <m:t>Δ</m:t>
          </m:r>
          <m:sSub>
            <m:e>
              <m:r>
                <m:t>s</m:t>
              </m:r>
            </m:e>
            <m:sub>
              <m:r>
                <m:t>i</m:t>
              </m:r>
              <m:r>
                <m:t>j</m:t>
              </m:r>
            </m:sub>
          </m:sSub>
          <m:r>
            <m:rPr>
              <m:sty m:val="p"/>
            </m:rPr>
            <m:t>=</m:t>
          </m:r>
          <m:d>
            <m:dPr>
              <m:begChr m:val="|"/>
              <m:endChr m:val="|"/>
              <m:sepChr m:val=""/>
              <m:grow/>
            </m:dPr>
            <m:e>
              <m:sSub>
                <m:e>
                  <m:r>
                    <m:t>x</m:t>
                  </m:r>
                </m:e>
                <m:sub>
                  <m:r>
                    <m:t>i</m:t>
                  </m:r>
                </m:sub>
              </m:sSub>
              <m:r>
                <m:rPr>
                  <m:sty m:val="p"/>
                </m:rPr>
                <m:t>−</m:t>
              </m:r>
              <m:sSub>
                <m:e>
                  <m:r>
                    <m:t>x</m:t>
                  </m:r>
                </m:e>
                <m:sub>
                  <m:r>
                    <m:t>j</m:t>
                  </m:r>
                </m:sub>
              </m:sSub>
            </m:e>
          </m:d>
          <m:r>
            <m:rPr>
              <m:sty m:val="p"/>
            </m:rPr>
            <m:t>+</m:t>
          </m:r>
          <m:d>
            <m:dPr>
              <m:begChr m:val="|"/>
              <m:endChr m:val="|"/>
              <m:sepChr m:val=""/>
              <m:grow/>
            </m:dPr>
            <m:e>
              <m:sSub>
                <m:e>
                  <m:r>
                    <m:t>y</m:t>
                  </m:r>
                </m:e>
                <m:sub>
                  <m:r>
                    <m:t>i</m:t>
                  </m:r>
                </m:sub>
              </m:sSub>
              <m:r>
                <m:rPr>
                  <m:sty m:val="p"/>
                </m:rPr>
                <m:t>−</m:t>
              </m:r>
              <m:sSub>
                <m:e>
                  <m:r>
                    <m:t>y</m:t>
                  </m:r>
                </m:e>
                <m:sub>
                  <m:r>
                    <m:t>j</m:t>
                  </m:r>
                </m:sub>
              </m:sSub>
            </m:e>
          </m:d>
          <m:r>
            <m:rPr>
              <m:sty m:val="p"/>
            </m:rPr>
            <m:t>.</m:t>
          </m:r>
        </m:oMath>
      </m:oMathPara>
    </w:p>
    <w:p>
      <w:pPr>
        <w:pStyle w:val="FirstParagraph"/>
      </w:pPr>
      <w:r>
        <w:t xml:space="preserve">原方法依据上述几何关系、按注意力头设置的衰减因子与可学习权重生成几何先验。本章用下式概括其作用：</w:t>
      </w:r>
    </w:p>
    <w:p>
      <w:pPr>
        <w:pStyle w:val="BodyText"/>
      </w:pPr>
      <m:oMathPara>
        <m:oMathParaPr>
          <m:jc m:val="center"/>
        </m:oMathParaPr>
        <m:oMath>
          <m:sSubSup>
            <m:e>
              <m:r>
                <m:t>G</m:t>
              </m:r>
            </m:e>
            <m:sub>
              <m:r>
                <m:t>i</m:t>
              </m:r>
              <m:r>
                <m:t>j</m:t>
              </m:r>
            </m:sub>
            <m:sup>
              <m:d>
                <m:dPr>
                  <m:begChr m:val="("/>
                  <m:endChr m:val=")"/>
                  <m:sepChr m:val=""/>
                  <m:grow/>
                </m:dPr>
                <m:e>
                  <m:r>
                    <m:t>r</m:t>
                  </m:r>
                </m:e>
              </m:d>
            </m:sup>
          </m:sSubSup>
          <m:r>
            <m:rPr>
              <m:sty m:val="p"/>
            </m:rPr>
            <m:t>=</m:t>
          </m:r>
          <m:sSub>
            <m:e>
              <m:r>
                <m:t>η</m:t>
              </m:r>
            </m:e>
            <m:sub>
              <m:r>
                <m:t>s</m:t>
              </m:r>
            </m:sub>
          </m:sSub>
          <m:sSubSup>
            <m:e>
              <m:r>
                <m:t>G</m:t>
              </m:r>
            </m:e>
            <m:sub>
              <m:r>
                <m:t>s</m:t>
              </m:r>
              <m:r>
                <m:rPr>
                  <m:sty m:val="p"/>
                </m:rPr>
                <m:t>,</m:t>
              </m:r>
              <m:r>
                <m:t>i</m:t>
              </m:r>
              <m:r>
                <m:t>j</m:t>
              </m:r>
            </m:sub>
            <m:sup>
              <m:d>
                <m:dPr>
                  <m:begChr m:val="("/>
                  <m:endChr m:val=")"/>
                  <m:sepChr m:val=""/>
                  <m:grow/>
                </m:dPr>
                <m:e>
                  <m:r>
                    <m:t>r</m:t>
                  </m:r>
                </m:e>
              </m:d>
            </m:sup>
          </m:sSubSup>
          <m:r>
            <m:rPr>
              <m:sty m:val="p"/>
            </m:rPr>
            <m:t>+</m:t>
          </m:r>
          <m:sSub>
            <m:e>
              <m:r>
                <m:t>η</m:t>
              </m:r>
            </m:e>
            <m:sub>
              <m:r>
                <m:t>d</m:t>
              </m:r>
            </m:sub>
          </m:sSub>
          <m:sSubSup>
            <m:e>
              <m:r>
                <m:t>G</m:t>
              </m:r>
            </m:e>
            <m:sub>
              <m:r>
                <m:t>d</m:t>
              </m:r>
              <m:r>
                <m:rPr>
                  <m:sty m:val="p"/>
                </m:rPr>
                <m:t>,</m:t>
              </m:r>
              <m:r>
                <m:t>i</m:t>
              </m:r>
              <m:r>
                <m:t>j</m:t>
              </m:r>
            </m:sub>
            <m:sup>
              <m:d>
                <m:dPr>
                  <m:begChr m:val="("/>
                  <m:endChr m:val=")"/>
                  <m:sepChr m:val=""/>
                  <m:grow/>
                </m:dPr>
                <m:e>
                  <m:r>
                    <m:t>r</m:t>
                  </m:r>
                </m:e>
              </m:d>
            </m:sup>
          </m:sSubSup>
          <m:r>
            <m:rPr>
              <m:sty m:val="p"/>
            </m:rPr>
            <m:t>,</m:t>
          </m:r>
        </m:oMath>
      </m:oMathPara>
    </w:p>
    <w:p>
      <w:pPr>
        <w:pStyle w:val="FirstParagraph"/>
      </w:pPr>
      <w:r>
        <w:t xml:space="preserve">其中</w:t>
      </w:r>
      <w:r>
        <w:t xml:space="preserve"> </w:t>
      </w:r>
      <m:oMath>
        <m:r>
          <m:t>r</m:t>
        </m:r>
      </m:oMath>
      <w:r>
        <w:t xml:space="preserve"> </w:t>
      </w:r>
      <w:r>
        <w:t xml:space="preserve">表示注意力头，</w:t>
      </w:r>
      <m:oMath>
        <m:sSub>
          <m:e>
            <m:r>
              <m:t>G</m:t>
            </m:r>
          </m:e>
          <m:sub>
            <m:r>
              <m:t>s</m:t>
            </m:r>
          </m:sub>
        </m:sSub>
      </m:oMath>
      <w:r>
        <w:t xml:space="preserve"> </w:t>
      </w:r>
      <w:r>
        <w:t xml:space="preserve">与</w:t>
      </w:r>
      <w:r>
        <w:t xml:space="preserve"> </w:t>
      </w:r>
      <m:oMath>
        <m:sSub>
          <m:e>
            <m:r>
              <m:t>G</m:t>
            </m:r>
          </m:e>
          <m:sub>
            <m:r>
              <m:t>d</m:t>
            </m:r>
          </m:sub>
        </m:sSub>
      </m:oMath>
      <w:r>
        <w:t xml:space="preserve"> </w:t>
      </w:r>
      <w:r>
        <w:t xml:space="preserve">分别为位置距离先验和深度差先验，</w:t>
      </w:r>
      <m:oMath>
        <m:sSub>
          <m:e>
            <m:r>
              <m:t>η</m:t>
            </m:r>
          </m:e>
          <m:sub>
            <m:r>
              <m:t>s</m:t>
            </m:r>
          </m:sub>
        </m:sSub>
        <m:r>
          <m:rPr>
            <m:sty m:val="p"/>
          </m:rPr>
          <m:t>,</m:t>
        </m:r>
        <m:sSub>
          <m:e>
            <m:r>
              <m:t>η</m:t>
            </m:r>
          </m:e>
          <m:sub>
            <m:r>
              <m:t>d</m:t>
            </m:r>
          </m:sub>
        </m:sSub>
      </m:oMath>
      <w:r>
        <w:t xml:space="preserve"> </w:t>
      </w:r>
      <w:r>
        <w:t xml:space="preserve">为可学习融合系数。实际实现应复用 DFormerv2</w:t>
      </w:r>
      <w:r>
        <w:t xml:space="preserve"> </w:t>
      </w:r>
      <w:r>
        <w:rPr>
          <w:rStyle w:val="VerbatimChar"/>
        </w:rPr>
        <w:t xml:space="preserve">GeoPriorGen</w:t>
      </w:r>
      <w:r>
        <w:t xml:space="preserve"> </w:t>
      </w:r>
      <w:r>
        <w:t xml:space="preserve">中的</w:t>
      </w:r>
      <w:r>
        <w:t xml:space="preserve"> </w:t>
      </w:r>
      <w:r>
        <w:rPr>
          <w:rStyle w:val="VerbatimChar"/>
        </w:rPr>
        <w:t xml:space="preserve">decay</w:t>
      </w:r>
      <w:r>
        <w:t xml:space="preserve">、</w:t>
      </w:r>
      <w:r>
        <w:rPr>
          <w:rStyle w:val="VerbatimChar"/>
        </w:rPr>
        <w:t xml:space="preserve">weight</w:t>
      </w:r>
      <w:r>
        <w:t xml:space="preserve">、位置编码及预处理方式；式（3-6）仅作为概念性概括，不代替官方完整算子。几何先验加入注意力打分后，可用</w:t>
      </w:r>
    </w:p>
    <w:p>
      <w:pPr>
        <w:pStyle w:val="BodyText"/>
      </w:pPr>
      <m:oMathPara>
        <m:oMathParaPr>
          <m:jc m:val="center"/>
        </m:oMathParaPr>
        <m:oMath>
          <m:sSubSup>
            <m:e>
              <m:r>
                <m:t>A</m:t>
              </m:r>
            </m:e>
            <m:sub>
              <m:r>
                <m:rPr>
                  <m:sty m:val="p"/>
                </m:rPr>
                <m:t>G</m:t>
              </m:r>
              <m:r>
                <m:rPr>
                  <m:sty m:val="p"/>
                </m:rPr>
                <m:t>S</m:t>
              </m:r>
              <m:r>
                <m:rPr>
                  <m:sty m:val="p"/>
                </m:rPr>
                <m:t>A</m:t>
              </m:r>
            </m:sub>
            <m:sup>
              <m:d>
                <m:dPr>
                  <m:begChr m:val="("/>
                  <m:endChr m:val=")"/>
                  <m:sepChr m:val=""/>
                  <m:grow/>
                </m:dPr>
                <m:e>
                  <m:r>
                    <m:t>r</m:t>
                  </m:r>
                </m:e>
              </m:d>
            </m:sup>
          </m:sSubSup>
          <m:r>
            <m:rPr>
              <m:sty m:val="p"/>
            </m:rPr>
            <m:t>=</m:t>
          </m:r>
          <m:r>
            <m:rPr>
              <m:sty m:val="p"/>
            </m:rPr>
            <m:t>Softmax</m:t>
          </m:r>
          <m:d>
            <m:dPr>
              <m:begChr m:val="("/>
              <m:endChr m:val=")"/>
              <m:sepChr m:val=""/>
              <m:grow/>
            </m:dPr>
            <m:e>
              <m:f>
                <m:fPr>
                  <m:type m:val="bar"/>
                </m:fPr>
                <m:num>
                  <m:sSup>
                    <m:e>
                      <m:r>
                        <m:t>Q</m:t>
                      </m:r>
                    </m:e>
                    <m:sup>
                      <m:d>
                        <m:dPr>
                          <m:begChr m:val="("/>
                          <m:endChr m:val=")"/>
                          <m:sepChr m:val=""/>
                          <m:grow/>
                        </m:dPr>
                        <m:e>
                          <m:r>
                            <m:t>r</m:t>
                          </m:r>
                        </m:e>
                      </m:d>
                    </m:sup>
                  </m:sSup>
                  <m:sSup>
                    <m:e>
                      <m:d>
                        <m:dPr>
                          <m:begChr m:val="("/>
                          <m:endChr m:val=")"/>
                          <m:sepChr m:val=""/>
                          <m:grow/>
                        </m:dPr>
                        <m:e>
                          <m:sSup>
                            <m:e>
                              <m:r>
                                <m:t>K</m:t>
                              </m:r>
                            </m:e>
                            <m:sup>
                              <m:d>
                                <m:dPr>
                                  <m:begChr m:val="("/>
                                  <m:endChr m:val=")"/>
                                  <m:sepChr m:val=""/>
                                  <m:grow/>
                                </m:dPr>
                                <m:e>
                                  <m:r>
                                    <m:t>r</m:t>
                                  </m:r>
                                </m:e>
                              </m:d>
                            </m:sup>
                          </m:sSup>
                        </m:e>
                      </m:d>
                    </m:e>
                    <m:sup>
                      <m:r>
                        <m:rPr>
                          <m:sty m:val="p"/>
                        </m:rPr>
                        <m:t>⊤</m:t>
                      </m:r>
                    </m:sup>
                  </m:sSup>
                </m:num>
                <m:den>
                  <m:rad>
                    <m:radPr>
                      <m:degHide m:val="on"/>
                    </m:radPr>
                    <m:deg/>
                    <m:e>
                      <m:sSub>
                        <m:e>
                          <m:r>
                            <m:t>d</m:t>
                          </m:r>
                        </m:e>
                        <m:sub>
                          <m:r>
                            <m:t>r</m:t>
                          </m:r>
                        </m:sub>
                      </m:sSub>
                    </m:e>
                  </m:rad>
                </m:den>
              </m:f>
              <m:r>
                <m:rPr>
                  <m:sty m:val="p"/>
                </m:rPr>
                <m:t>+</m:t>
              </m:r>
              <m:sSup>
                <m:e>
                  <m:r>
                    <m:t>G</m:t>
                  </m:r>
                </m:e>
                <m:sup>
                  <m:d>
                    <m:dPr>
                      <m:begChr m:val="("/>
                      <m:endChr m:val=")"/>
                      <m:sepChr m:val=""/>
                      <m:grow/>
                    </m:dPr>
                    <m:e>
                      <m:r>
                        <m:t>r</m:t>
                      </m:r>
                    </m:e>
                  </m:d>
                </m:sup>
              </m:sSup>
            </m:e>
          </m:d>
        </m:oMath>
      </m:oMathPara>
    </w:p>
    <w:p>
      <w:pPr>
        <w:pStyle w:val="FirstParagraph"/>
      </w:pPr>
      <w:r>
        <w:t xml:space="preserve">表示其基本调制方式。由于官方代码中的几何衰减值通常为非正值，几何关系较远的区域会受到额外抑制；但最终注意力仍由视觉内容与几何先验共同决定，不能将其理解为直接分割物体。</w:t>
      </w:r>
    </w:p>
    <w:p>
      <w:pPr>
        <w:pStyle w:val="BodyText"/>
      </w:pPr>
      <w:r>
        <w:t xml:space="preserve">为降低空间注意力的计算成本，DFormerv2 同时提供</w:t>
      </w:r>
      <w:r>
        <w:t xml:space="preserve"> </w:t>
      </w:r>
      <w:r>
        <w:rPr>
          <w:rStyle w:val="VerbatimChar"/>
        </w:rPr>
        <w:t xml:space="preserve">Full_GSA</w:t>
      </w:r>
      <w:r>
        <w:t xml:space="preserve"> </w:t>
      </w:r>
      <w:r>
        <w:t xml:space="preserve">与</w:t>
      </w:r>
      <w:r>
        <w:t xml:space="preserve"> </w:t>
      </w:r>
      <w:r>
        <w:rPr>
          <w:rStyle w:val="VerbatimChar"/>
        </w:rPr>
        <w:t xml:space="preserve">Decomposed_GSA</w:t>
      </w:r>
      <w:r>
        <w:t xml:space="preserve"> </w:t>
      </w:r>
      <w:r>
        <w:t xml:space="preserve">两种实现。前者需要在展开的</w:t>
      </w:r>
      <w:r>
        <w:t xml:space="preserve"> </w:t>
      </w:r>
      <m:oMath>
        <m:r>
          <m:t>h</m:t>
        </m:r>
        <m:r>
          <m:t>w</m:t>
        </m:r>
      </m:oMath>
      <w:r>
        <w:t xml:space="preserve"> </w:t>
      </w:r>
      <w:r>
        <w:t xml:space="preserve">个位置间建立交互，相关注意力矩阵大小约为</w:t>
      </w:r>
      <w:r>
        <w:t xml:space="preserve"> </w:t>
      </w:r>
      <m:oMath>
        <m:d>
          <m:dPr>
            <m:begChr m:val="("/>
            <m:endChr m:val=")"/>
            <m:sepChr m:val=""/>
            <m:grow/>
          </m:dPr>
          <m:e>
            <m:r>
              <m:t>h</m:t>
            </m:r>
            <m:r>
              <m:t>w</m:t>
            </m:r>
          </m:e>
        </m:d>
        <m:r>
          <m:rPr>
            <m:sty m:val="p"/>
          </m:rPr>
          <m:t>×</m:t>
        </m:r>
        <m:d>
          <m:dPr>
            <m:begChr m:val="("/>
            <m:endChr m:val=")"/>
            <m:sepChr m:val=""/>
            <m:grow/>
          </m:dPr>
          <m:e>
            <m:r>
              <m:t>h</m:t>
            </m:r>
            <m:r>
              <m:t>w</m:t>
            </m:r>
          </m:e>
        </m:d>
      </m:oMath>
      <w:r>
        <w:t xml:space="preserve">；后者先后在水平和垂直方向上计算注意力，避免一次性构建完整的二维全局交互矩阵。本章优先采用后者作为工程实现，并以 Full-GSA 作为可选结构对照。</w:t>
      </w:r>
    </w:p>
    <w:p>
      <w:pPr>
        <w:pStyle w:val="CaptionedFigure"/>
      </w:pPr>
      <w:r>
        <w:drawing>
          <wp:inline>
            <wp:extent cx="5334000" cy="1664208"/>
            <wp:effectExtent b="0" l="0" r="0" t="0"/>
            <wp:docPr descr="图3-2 几何先验及注意力分解机制占位图" title="" id="30" name="Picture"/>
            <a:graphic>
              <a:graphicData uri="http://schemas.openxmlformats.org/drawingml/2006/picture">
                <pic:pic>
                  <pic:nvPicPr>
                    <pic:cNvPr descr="figures/fig3_2_geo.png" id="31" name="Picture"/>
                    <pic:cNvPicPr>
                      <a:picLocks noChangeArrowheads="1" noChangeAspect="1"/>
                    </pic:cNvPicPr>
                  </pic:nvPicPr>
                  <pic:blipFill>
                    <a:blip r:embed="rId29"/>
                    <a:stretch>
                      <a:fillRect/>
                    </a:stretch>
                  </pic:blipFill>
                  <pic:spPr bwMode="auto">
                    <a:xfrm>
                      <a:off x="0" y="0"/>
                      <a:ext cx="5334000" cy="1664208"/>
                    </a:xfrm>
                    <a:prstGeom prst="rect">
                      <a:avLst/>
                    </a:prstGeom>
                    <a:noFill/>
                    <a:ln w="9525">
                      <a:noFill/>
                      <a:headEnd/>
                      <a:tailEnd/>
                    </a:ln>
                  </pic:spPr>
                </pic:pic>
              </a:graphicData>
            </a:graphic>
          </wp:inline>
        </w:drawing>
      </w:r>
    </w:p>
    <w:p>
      <w:pPr>
        <w:pStyle w:val="ImageCaption"/>
      </w:pPr>
      <w:r>
        <w:t xml:space="preserve">图3-2 几何先验及注意力分解机制占位图</w:t>
      </w:r>
    </w:p>
    <w:p>
      <w:pPr>
        <w:pStyle w:val="BodyText"/>
      </w:pPr>
      <w:r>
        <w:rPr>
          <w:b/>
          <w:bCs/>
        </w:rPr>
        <w:t xml:space="preserve">图3-2 深度差与空间距离构造几何先验及 GSA 结构示意占位图</w:t>
      </w:r>
    </w:p>
    <w:p>
      <w:pPr>
        <w:pStyle w:val="BodyText"/>
      </w:pPr>
      <w:r>
        <w:t xml:space="preserve">值得强调的是，若仅对所有深度同时加上常量偏移</w:t>
      </w:r>
      <w:r>
        <w:t xml:space="preserve"> </w:t>
      </w:r>
      <m:oMath>
        <m:r>
          <m:t>δ</m:t>
        </m:r>
      </m:oMath>
      <w:r>
        <w:t xml:space="preserve">，深度差满足</w:t>
      </w:r>
      <w:r>
        <w:t xml:space="preserve"> </w:t>
      </w:r>
      <m:oMath>
        <m:d>
          <m:dPr>
            <m:begChr m:val="|"/>
            <m:endChr m:val="|"/>
            <m:sepChr m:val=""/>
            <m:grow/>
          </m:dPr>
          <m:e>
            <m:d>
              <m:dPr>
                <m:begChr m:val="("/>
                <m:endChr m:val=")"/>
                <m:sepChr m:val=""/>
                <m:grow/>
              </m:dPr>
              <m:e>
                <m:sSub>
                  <m:e>
                    <m:r>
                      <m:t>d</m:t>
                    </m:r>
                  </m:e>
                  <m:sub>
                    <m:r>
                      <m:t>i</m:t>
                    </m:r>
                  </m:sub>
                </m:sSub>
                <m:r>
                  <m:rPr>
                    <m:sty m:val="p"/>
                  </m:rPr>
                  <m:t>+</m:t>
                </m:r>
                <m:r>
                  <m:t>δ</m:t>
                </m:r>
              </m:e>
            </m:d>
            <m:r>
              <m:rPr>
                <m:sty m:val="p"/>
              </m:rPr>
              <m:t>−</m:t>
            </m:r>
            <m:d>
              <m:dPr>
                <m:begChr m:val="("/>
                <m:endChr m:val=")"/>
                <m:sepChr m:val=""/>
                <m:grow/>
              </m:dPr>
              <m:e>
                <m:sSub>
                  <m:e>
                    <m:r>
                      <m:t>d</m:t>
                    </m:r>
                  </m:e>
                  <m:sub>
                    <m:r>
                      <m:t>j</m:t>
                    </m:r>
                  </m:sub>
                </m:sSub>
                <m:r>
                  <m:rPr>
                    <m:sty m:val="p"/>
                  </m:rPr>
                  <m:t>+</m:t>
                </m:r>
                <m:r>
                  <m:t>δ</m:t>
                </m:r>
              </m:e>
            </m:d>
          </m:e>
        </m:d>
        <m:r>
          <m:rPr>
            <m:sty m:val="p"/>
          </m:rPr>
          <m:t>=</m:t>
        </m:r>
        <m:d>
          <m:dPr>
            <m:begChr m:val="|"/>
            <m:endChr m:val="|"/>
            <m:sepChr m:val=""/>
            <m:grow/>
          </m:dPr>
          <m:e>
            <m:sSub>
              <m:e>
                <m:r>
                  <m:t>d</m:t>
                </m:r>
              </m:e>
              <m:sub>
                <m:r>
                  <m:t>i</m:t>
                </m:r>
              </m:sub>
            </m:sSub>
            <m:r>
              <m:rPr>
                <m:sty m:val="p"/>
              </m:rPr>
              <m:t>−</m:t>
            </m:r>
            <m:sSub>
              <m:e>
                <m:r>
                  <m:t>d</m:t>
                </m:r>
              </m:e>
              <m:sub>
                <m:r>
                  <m:t>j</m:t>
                </m:r>
              </m:sub>
            </m:sSub>
          </m:e>
        </m:d>
      </m:oMath>
      <w:r>
        <w:t xml:space="preserve">。因此，单纯由深度差构造的那部分先验本身对整体深度平移不敏感。这为下一节保留局部区域绝对深度测量提供了设计动机，但不能据此声称完整 DFormerv2 网络完全不具有距离辨识能力。</w:t>
      </w:r>
    </w:p>
    <w:bookmarkEnd w:id="32"/>
    <w:bookmarkStart w:id="36" w:name="面向-cnn-dp-的低分辨率残差接入"/>
    <w:p>
      <w:pPr>
        <w:pStyle w:val="Heading3"/>
      </w:pPr>
      <w:r>
        <w:t xml:space="preserve">3.3.3 面向 CNN-DP 的低分辨率残差接入</w:t>
      </w:r>
    </w:p>
    <w:p>
      <w:pPr>
        <w:pStyle w:val="FirstParagraph"/>
      </w:pPr>
      <w:r>
        <w:t xml:space="preserve">不同于将完整 DFormerv2-S 替换原始 ResNet18，本章拟仅在其中一个中间尺度插入一个 GSA 单元。设</w:t>
      </w:r>
    </w:p>
    <w:p>
      <w:pPr>
        <w:pStyle w:val="BodyText"/>
      </w:pPr>
      <m:oMathPara>
        <m:oMathParaPr>
          <m:jc m:val="center"/>
        </m:oMathParaPr>
        <m:oMath>
          <m:sSubSup>
            <m:e>
              <m:r>
                <m:t>F</m:t>
              </m:r>
            </m:e>
            <m:sub>
              <m:r>
                <m:t>t</m:t>
              </m:r>
            </m:sub>
            <m:sup>
              <m:r>
                <m:t>0</m:t>
              </m:r>
            </m:sup>
          </m:sSubSup>
          <m:r>
            <m:rPr>
              <m:sty m:val="p"/>
            </m:rPr>
            <m:t>=</m:t>
          </m:r>
          <m:sSub>
            <m:e>
              <m:r>
                <m:t>E</m:t>
              </m:r>
            </m:e>
            <m:sub>
              <m:r>
                <m:rPr>
                  <m:sty m:val="p"/>
                </m:rPr>
                <m:t>p</m:t>
              </m:r>
              <m:r>
                <m:rPr>
                  <m:sty m:val="p"/>
                </m:rPr>
                <m:t>r</m:t>
              </m:r>
              <m:r>
                <m:rPr>
                  <m:sty m:val="p"/>
                </m:rPr>
                <m:t>e</m:t>
              </m:r>
            </m:sub>
          </m:sSub>
          <m:d>
            <m:dPr>
              <m:begChr m:val="("/>
              <m:endChr m:val=")"/>
              <m:sepChr m:val=""/>
              <m:grow/>
            </m:dPr>
            <m:e>
              <m:sSub>
                <m:e>
                  <m:r>
                    <m:t>I</m:t>
                  </m:r>
                </m:e>
                <m:sub>
                  <m:r>
                    <m:t>t</m:t>
                  </m:r>
                </m:sub>
              </m:sSub>
            </m:e>
          </m:d>
          <m:r>
            <m:rPr>
              <m:sty m:val="p"/>
            </m:rPr>
            <m:t>,</m:t>
          </m:r>
          <m:r>
            <m:t>  </m:t>
          </m:r>
          <m:sSub>
            <m:e>
              <m:acc>
                <m:accPr>
                  <m:chr m:val="̃"/>
                </m:accPr>
                <m:e>
                  <m:r>
                    <m:t>D</m:t>
                  </m:r>
                </m:e>
              </m:acc>
            </m:e>
            <m:sub>
              <m:r>
                <m:t>t</m:t>
              </m:r>
            </m:sub>
          </m:sSub>
          <m:r>
            <m:rPr>
              <m:sty m:val="p"/>
            </m:rPr>
            <m:t>=</m:t>
          </m:r>
          <m:r>
            <m:rPr>
              <m:sty m:val="p"/>
              <m:scr m:val="script"/>
            </m:rPr>
            <m:t>R</m:t>
          </m:r>
          <m:d>
            <m:dPr>
              <m:begChr m:val="("/>
              <m:endChr m:val=")"/>
              <m:sepChr m:val=""/>
              <m:grow/>
            </m:dPr>
            <m:e>
              <m:sSub>
                <m:e>
                  <m:r>
                    <m:t>D</m:t>
                  </m:r>
                </m:e>
                <m:sub>
                  <m:r>
                    <m:t>t</m:t>
                  </m:r>
                </m:sub>
              </m:sSub>
              <m:r>
                <m:rPr>
                  <m:sty m:val="p"/>
                </m:rPr>
                <m:t>;</m:t>
              </m:r>
              <m:r>
                <m:t>h</m:t>
              </m:r>
              <m:r>
                <m:rPr>
                  <m:sty m:val="p"/>
                </m:rPr>
                <m:t>,</m:t>
              </m:r>
              <m:r>
                <m:t>w</m:t>
              </m:r>
            </m:e>
          </m:d>
          <m:r>
            <m:rPr>
              <m:sty m:val="p"/>
            </m:rPr>
            <m:t>,</m:t>
          </m:r>
        </m:oMath>
      </m:oMathPara>
    </w:p>
    <w:p>
      <w:pPr>
        <w:pStyle w:val="FirstParagraph"/>
      </w:pPr>
      <w:r>
        <w:t xml:space="preserve">其中</w:t>
      </w:r>
      <w:r>
        <w:t xml:space="preserve"> </w:t>
      </w:r>
      <m:oMath>
        <m:r>
          <m:rPr>
            <m:sty m:val="p"/>
            <m:scr m:val="script"/>
          </m:rPr>
          <m:t>R</m:t>
        </m:r>
      </m:oMath>
      <w:r>
        <w:t xml:space="preserve"> </w:t>
      </w:r>
      <w:r>
        <w:t xml:space="preserve">表示和中间特征图对齐的深度缩放处理。由</w:t>
      </w:r>
      <w:r>
        <w:t xml:space="preserve"> </w:t>
      </w:r>
      <m:oMath>
        <m:sSub>
          <m:e>
            <m:acc>
              <m:accPr>
                <m:chr m:val="̃"/>
              </m:accPr>
              <m:e>
                <m:r>
                  <m:t>D</m:t>
                </m:r>
              </m:e>
            </m:acc>
          </m:e>
          <m:sub>
            <m:r>
              <m:t>t</m:t>
            </m:r>
          </m:sub>
        </m:sSub>
      </m:oMath>
      <w:r>
        <w:t xml:space="preserve"> </w:t>
      </w:r>
      <w:r>
        <w:t xml:space="preserve">生成几何先验</w:t>
      </w:r>
      <w:r>
        <w:t xml:space="preserve"> </w:t>
      </w:r>
      <m:oMath>
        <m:sSub>
          <m:e>
            <m:r>
              <m:t>G</m:t>
            </m:r>
          </m:e>
          <m:sub>
            <m:r>
              <m:t>t</m:t>
            </m:r>
          </m:sub>
        </m:sSub>
      </m:oMath>
      <w:r>
        <w:t xml:space="preserve">，将</w:t>
      </w:r>
      <w:r>
        <w:t xml:space="preserve"> </w:t>
      </w:r>
      <m:oMath>
        <m:sSubSup>
          <m:e>
            <m:r>
              <m:t>F</m:t>
            </m:r>
          </m:e>
          <m:sub>
            <m:r>
              <m:t>t</m:t>
            </m:r>
          </m:sub>
          <m:sup>
            <m:r>
              <m:t>0</m:t>
            </m:r>
          </m:sup>
        </m:sSubSup>
      </m:oMath>
      <w:r>
        <w:t xml:space="preserve"> </w:t>
      </w:r>
      <w:r>
        <w:t xml:space="preserve">调整为通道末维的表示并进行 LayerNorm 后输入 Decomposed-GSA，得到几何调制量：</w:t>
      </w:r>
    </w:p>
    <w:p>
      <w:pPr>
        <w:pStyle w:val="BodyText"/>
      </w:pPr>
      <m:oMathPara>
        <m:oMathParaPr>
          <m:jc m:val="center"/>
        </m:oMathParaPr>
        <m:oMath>
          <m:r>
            <m:t>Δ</m:t>
          </m:r>
          <m:sSub>
            <m:e>
              <m:r>
                <m:t>F</m:t>
              </m:r>
            </m:e>
            <m:sub>
              <m:r>
                <m:t>t</m:t>
              </m:r>
            </m:sub>
          </m:sSub>
          <m:r>
            <m:rPr>
              <m:sty m:val="p"/>
            </m:rPr>
            <m:t>=</m:t>
          </m:r>
          <m:r>
            <m:rPr>
              <m:sty m:val="p"/>
              <m:scr m:val="script"/>
            </m:rPr>
            <m:t>P</m:t>
          </m:r>
          <m:d>
            <m:dPr>
              <m:begChr m:val="("/>
              <m:endChr m:val=")"/>
              <m:sepChr m:val=""/>
              <m:grow/>
            </m:dPr>
            <m:e>
              <m:r>
                <m:rPr>
                  <m:sty m:val="p"/>
                </m:rPr>
                <m:t>GSA</m:t>
              </m:r>
              <m:d>
                <m:dPr>
                  <m:begChr m:val="("/>
                  <m:endChr m:val=")"/>
                  <m:sepChr m:val=""/>
                  <m:grow/>
                </m:dPr>
                <m:e>
                  <m:r>
                    <m:rPr>
                      <m:sty m:val="p"/>
                    </m:rPr>
                    <m:t>LN</m:t>
                  </m:r>
                  <m:d>
                    <m:dPr>
                      <m:begChr m:val="("/>
                      <m:endChr m:val=")"/>
                      <m:sepChr m:val=""/>
                      <m:grow/>
                    </m:dPr>
                    <m:e>
                      <m:sSubSup>
                        <m:e>
                          <m:r>
                            <m:t>F</m:t>
                          </m:r>
                        </m:e>
                        <m:sub>
                          <m:r>
                            <m:t>t</m:t>
                          </m:r>
                        </m:sub>
                        <m:sup>
                          <m:r>
                            <m:t>0</m:t>
                          </m:r>
                        </m:sup>
                      </m:sSubSup>
                    </m:e>
                  </m:d>
                  <m:r>
                    <m:rPr>
                      <m:sty m:val="p"/>
                    </m:rPr>
                    <m:t>,</m:t>
                  </m:r>
                  <m:sSub>
                    <m:e>
                      <m:r>
                        <m:t>G</m:t>
                      </m:r>
                    </m:e>
                    <m:sub>
                      <m:r>
                        <m:t>t</m:t>
                      </m:r>
                    </m:sub>
                  </m:sSub>
                </m:e>
              </m:d>
            </m:e>
          </m:d>
          <m:r>
            <m:rPr>
              <m:sty m:val="p"/>
            </m:rPr>
            <m:t>,</m:t>
          </m:r>
        </m:oMath>
      </m:oMathPara>
    </w:p>
    <w:p>
      <w:pPr>
        <w:pStyle w:val="FirstParagraph"/>
      </w:pPr>
      <w:r>
        <w:t xml:space="preserve">其中</w:t>
      </w:r>
      <w:r>
        <w:t xml:space="preserve"> </w:t>
      </w:r>
      <m:oMath>
        <m:r>
          <m:rPr>
            <m:sty m:val="p"/>
            <m:scr m:val="script"/>
          </m:rPr>
          <m:t>P</m:t>
        </m:r>
      </m:oMath>
      <w:r>
        <w:t xml:space="preserve"> </w:t>
      </w:r>
      <w:r>
        <w:t xml:space="preserve">表示必要的通道与形状投影。引入残差系数</w:t>
      </w:r>
      <w:r>
        <w:t xml:space="preserve"> </w:t>
      </w:r>
      <m:oMath>
        <m:r>
          <m:t>γ</m:t>
        </m:r>
      </m:oMath>
      <w:r>
        <w:t xml:space="preserve">：</w:t>
      </w:r>
    </w:p>
    <w:p>
      <w:pPr>
        <w:pStyle w:val="BodyText"/>
      </w:pPr>
      <m:oMathPara>
        <m:oMathParaPr>
          <m:jc m:val="center"/>
        </m:oMathParaPr>
        <m:oMath>
          <m:borderBox>
            <m:e>
              <m:sSubSup>
                <m:e>
                  <m:r>
                    <m:t>F</m:t>
                  </m:r>
                </m:e>
                <m:sub>
                  <m:r>
                    <m:t>t</m:t>
                  </m:r>
                </m:sub>
                <m:sup>
                  <m:r>
                    <m:t>g</m:t>
                  </m:r>
                </m:sup>
              </m:sSubSup>
              <m:r>
                <m:rPr>
                  <m:sty m:val="p"/>
                </m:rPr>
                <m:t>=</m:t>
              </m:r>
              <m:sSubSup>
                <m:e>
                  <m:r>
                    <m:t>F</m:t>
                  </m:r>
                </m:e>
                <m:sub>
                  <m:r>
                    <m:t>t</m:t>
                  </m:r>
                </m:sub>
                <m:sup>
                  <m:r>
                    <m:t>0</m:t>
                  </m:r>
                </m:sup>
              </m:sSubSup>
              <m:r>
                <m:rPr>
                  <m:sty m:val="p"/>
                </m:rPr>
                <m:t>+</m:t>
              </m:r>
              <m:r>
                <m:t>γ</m:t>
              </m:r>
              <m:r>
                <m:t>Δ</m:t>
              </m:r>
              <m:sSub>
                <m:e>
                  <m:r>
                    <m:t>F</m:t>
                  </m:r>
                </m:e>
                <m:sub>
                  <m:r>
                    <m:t>t</m:t>
                  </m:r>
                </m:sub>
              </m:sSub>
              <m:r>
                <m:rPr>
                  <m:sty m:val="p"/>
                </m:rPr>
                <m:t>.</m:t>
              </m:r>
            </m:e>
          </m:borderBox>
        </m:oMath>
      </m:oMathPara>
    </w:p>
    <w:p>
      <w:pPr>
        <w:pStyle w:val="FirstParagraph"/>
      </w:pPr>
      <w:r>
        <w:t xml:space="preserve">本章拟采用较小的非零值初始化</w:t>
      </w:r>
      <w:r>
        <w:t xml:space="preserve"> </w:t>
      </w:r>
      <m:oMath>
        <m:r>
          <m:t>γ</m:t>
        </m:r>
      </m:oMath>
      <w:r>
        <w:t xml:space="preserve">，例如 0.1，再由训练更新；初始化值与固定系数方案需进行实验比较。采用残差接入的目的，是允许新增几何特征沿现有 ResNet 路径逐步起作用，并尽量避免彻底改变原视觉网络的训练特性。此处使用的是官方 GSA 注意力算子的迁移版，不应将其称为完整 DFormerv2 主干复现。</w:t>
      </w:r>
    </w:p>
    <w:p>
      <w:pPr>
        <w:pStyle w:val="BodyText"/>
      </w:pPr>
      <w:r>
        <w:t xml:space="preserve">对于标准</w:t>
      </w:r>
      <w:r>
        <w:t xml:space="preserve"> </w:t>
      </w:r>
      <m:oMath>
        <m:r>
          <m:t>96</m:t>
        </m:r>
        <m:r>
          <m:rPr>
            <m:sty m:val="p"/>
          </m:rPr>
          <m:t>×</m:t>
        </m:r>
        <m:r>
          <m:t>96</m:t>
        </m:r>
      </m:oMath>
      <w:r>
        <w:t xml:space="preserve"> </w:t>
      </w:r>
      <w:r>
        <w:t xml:space="preserve">RGB 输入，选择 ResNet18 的约</w:t>
      </w:r>
      <w:r>
        <w:t xml:space="preserve"> </w:t>
      </w:r>
      <m:oMath>
        <m:r>
          <m:t>1</m:t>
        </m:r>
        <m:r>
          <m:rPr>
            <m:sty m:val="p"/>
          </m:rPr>
          <m:t>/</m:t>
        </m:r>
        <m:r>
          <m:t>8</m:t>
        </m:r>
      </m:oMath>
      <w:r>
        <w:t xml:space="preserve"> </w:t>
      </w:r>
      <w:r>
        <w:t xml:space="preserve">尺度特征作为初步候选时，可得到形如</w:t>
      </w:r>
      <w:r>
        <w:t xml:space="preserve"> </w:t>
      </w:r>
      <m:oMath>
        <m:r>
          <m:t>C</m:t>
        </m:r>
        <m:r>
          <m:rPr>
            <m:sty m:val="p"/>
          </m:rPr>
          <m:t>=</m:t>
        </m:r>
        <m:r>
          <m:t>128</m:t>
        </m:r>
        <m:r>
          <m:rPr>
            <m:sty m:val="p"/>
          </m:rPr>
          <m:t>,</m:t>
        </m:r>
        <m:r>
          <m:t>h</m:t>
        </m:r>
        <m:r>
          <m:rPr>
            <m:sty m:val="p"/>
          </m:rPr>
          <m:t>=</m:t>
        </m:r>
        <m:r>
          <m:t>w</m:t>
        </m:r>
        <m:r>
          <m:rPr>
            <m:sty m:val="p"/>
          </m:rPr>
          <m:t>=</m:t>
        </m:r>
        <m:r>
          <m:t>12</m:t>
        </m:r>
      </m:oMath>
      <w:r>
        <w:t xml:space="preserve"> </w:t>
      </w:r>
      <w:r>
        <w:t xml:space="preserve">的中间特征；实际特征尺寸会随图像裁剪、编码器实现和 ResNet 变体变化，必须通过代码实测确认。此设计只计算一次 GSA，随后继续沿用原始 ResNet 后段，并在中间增强特征处引出 TokenLearner 分支。</w:t>
      </w:r>
    </w:p>
    <w:p>
      <w:pPr>
        <w:pStyle w:val="CaptionedFigure"/>
      </w:pPr>
      <w:r>
        <w:drawing>
          <wp:inline>
            <wp:extent cx="5334000" cy="1514856"/>
            <wp:effectExtent b="0" l="0" r="0" t="0"/>
            <wp:docPr descr="图3-3 ResNet18中间层接入GSA占位图" title="" id="34" name="Picture"/>
            <a:graphic>
              <a:graphicData uri="http://schemas.openxmlformats.org/drawingml/2006/picture">
                <pic:pic>
                  <pic:nvPicPr>
                    <pic:cNvPr descr="figures/fig3_3_insert.png" id="35" name="Picture"/>
                    <pic:cNvPicPr>
                      <a:picLocks noChangeArrowheads="1" noChangeAspect="1"/>
                    </pic:cNvPicPr>
                  </pic:nvPicPr>
                  <pic:blipFill>
                    <a:blip r:embed="rId33"/>
                    <a:stretch>
                      <a:fillRect/>
                    </a:stretch>
                  </pic:blipFill>
                  <pic:spPr bwMode="auto">
                    <a:xfrm>
                      <a:off x="0" y="0"/>
                      <a:ext cx="5334000" cy="1514856"/>
                    </a:xfrm>
                    <a:prstGeom prst="rect">
                      <a:avLst/>
                    </a:prstGeom>
                    <a:noFill/>
                    <a:ln w="9525">
                      <a:noFill/>
                      <a:headEnd/>
                      <a:tailEnd/>
                    </a:ln>
                  </pic:spPr>
                </pic:pic>
              </a:graphicData>
            </a:graphic>
          </wp:inline>
        </w:drawing>
      </w:r>
    </w:p>
    <w:p>
      <w:pPr>
        <w:pStyle w:val="ImageCaption"/>
      </w:pPr>
      <w:r>
        <w:t xml:space="preserve">图3-3 ResNet18中间层接入GSA占位图</w:t>
      </w:r>
    </w:p>
    <w:p>
      <w:pPr>
        <w:pStyle w:val="BodyText"/>
      </w:pPr>
      <w:r>
        <w:rPr>
          <w:b/>
          <w:bCs/>
        </w:rPr>
        <w:t xml:space="preserve">图3-3 GSA 在 ResNet18 中间阶段的接入方式占位图</w:t>
      </w:r>
    </w:p>
    <w:bookmarkEnd w:id="36"/>
    <w:bookmarkStart w:id="37" w:name="深度预处理和计算开销约束"/>
    <w:p>
      <w:pPr>
        <w:pStyle w:val="Heading3"/>
      </w:pPr>
      <w:r>
        <w:t xml:space="preserve">3.3.4 深度预处理和计算开销约束</w:t>
      </w:r>
    </w:p>
    <w:p>
      <w:pPr>
        <w:pStyle w:val="FirstParagraph"/>
      </w:pPr>
      <w:r>
        <w:t xml:space="preserve">几何先验计算依赖深度数值的尺度。在工程实现中，深度图需首先统一到米或其他明确的物理单位，再采用整个数据集共享的固定缩放常数，使训练集与测试集具有一致数值意义。不能对每帧深度分别做最小—最大归一化后继续将其解释为真实绝对深度。若仿真深度以毫米保存，需统一换算；无效像素、异常值及传感器饱和区应产生独立有效掩码。</w:t>
      </w:r>
    </w:p>
    <w:p>
      <w:pPr>
        <w:pStyle w:val="BodyText"/>
      </w:pPr>
      <w:r>
        <w:t xml:space="preserve">RGB 与 Depth 的裁剪、缩放、翻转等空间增强必须使用一致的几何变换；对于深度值插值方式，需避免在明显深度不连续的区域产生不真实的混合距离。为减少伪几何先验干扰，建议记录有效深度比例并设置固定无效值处理策略。上述措施均是保证方法正确性的必要工程条件，不等同于新的学习模块。</w:t>
      </w:r>
    </w:p>
    <w:p>
      <w:pPr>
        <w:pStyle w:val="BodyText"/>
      </w:pPr>
      <w:r>
        <w:t xml:space="preserve">对于端到端规划时延，定义</w:t>
      </w:r>
    </w:p>
    <w:p>
      <w:pPr>
        <w:pStyle w:val="BodyText"/>
      </w:pPr>
      <m:oMathPara>
        <m:oMathParaPr>
          <m:jc m:val="center"/>
        </m:oMathParaPr>
        <m:oMath>
          <m:sSub>
            <m:e>
              <m:r>
                <m:t>T</m:t>
              </m:r>
            </m:e>
            <m:sub>
              <m:r>
                <m:rPr>
                  <m:sty m:val="p"/>
                </m:rPr>
                <m:t>p</m:t>
              </m:r>
              <m:r>
                <m:rPr>
                  <m:sty m:val="p"/>
                </m:rPr>
                <m:t>l</m:t>
              </m:r>
              <m:r>
                <m:rPr>
                  <m:sty m:val="p"/>
                </m:rPr>
                <m:t>a</m:t>
              </m:r>
              <m:r>
                <m:rPr>
                  <m:sty m:val="p"/>
                </m:rPr>
                <m:t>n</m:t>
              </m:r>
            </m:sub>
          </m:sSub>
          <m:r>
            <m:rPr>
              <m:sty m:val="p"/>
            </m:rPr>
            <m:t>=</m:t>
          </m:r>
          <m:sSub>
            <m:e>
              <m:r>
                <m:t>T</m:t>
              </m:r>
            </m:e>
            <m:sub>
              <m:r>
                <m:rPr>
                  <m:sty m:val="p"/>
                </m:rPr>
                <m:t>p</m:t>
              </m:r>
              <m:r>
                <m:rPr>
                  <m:sty m:val="p"/>
                </m:rPr>
                <m:t>r</m:t>
              </m:r>
              <m:r>
                <m:rPr>
                  <m:sty m:val="p"/>
                </m:rPr>
                <m:t>e</m:t>
              </m:r>
            </m:sub>
          </m:sSub>
          <m:r>
            <m:rPr>
              <m:sty m:val="p"/>
            </m:rPr>
            <m:t>+</m:t>
          </m:r>
          <m:sSub>
            <m:e>
              <m:r>
                <m:t>T</m:t>
              </m:r>
            </m:e>
            <m:sub>
              <m:r>
                <m:rPr>
                  <m:sty m:val="p"/>
                </m:rPr>
                <m:t>v</m:t>
              </m:r>
              <m:r>
                <m:rPr>
                  <m:sty m:val="p"/>
                </m:rPr>
                <m:t>i</m:t>
              </m:r>
              <m:r>
                <m:rPr>
                  <m:sty m:val="p"/>
                </m:rPr>
                <m:t>s</m:t>
              </m:r>
            </m:sub>
          </m:sSub>
          <m:r>
            <m:rPr>
              <m:sty m:val="p"/>
            </m:rPr>
            <m:t>+</m:t>
          </m:r>
          <m:sSub>
            <m:e>
              <m:r>
                <m:t>T</m:t>
              </m:r>
            </m:e>
            <m:sub>
              <m:r>
                <m:rPr>
                  <m:sty m:val="p"/>
                </m:rPr>
                <m:t>d</m:t>
              </m:r>
              <m:r>
                <m:rPr>
                  <m:sty m:val="p"/>
                </m:rPr>
                <m:t>e</m:t>
              </m:r>
              <m:r>
                <m:rPr>
                  <m:sty m:val="p"/>
                </m:rPr>
                <m:t>n</m:t>
              </m:r>
              <m:r>
                <m:rPr>
                  <m:sty m:val="p"/>
                </m:rPr>
                <m:t>o</m:t>
              </m:r>
              <m:r>
                <m:rPr>
                  <m:sty m:val="p"/>
                </m:rPr>
                <m:t>i</m:t>
              </m:r>
              <m:r>
                <m:rPr>
                  <m:sty m:val="p"/>
                </m:rPr>
                <m:t>s</m:t>
              </m:r>
              <m:r>
                <m:rPr>
                  <m:sty m:val="p"/>
                </m:rPr>
                <m:t>e</m:t>
              </m:r>
            </m:sub>
          </m:sSub>
          <m:r>
            <m:rPr>
              <m:sty m:val="p"/>
            </m:rPr>
            <m:t>+</m:t>
          </m:r>
          <m:sSub>
            <m:e>
              <m:r>
                <m:t>T</m:t>
              </m:r>
            </m:e>
            <m:sub>
              <m:r>
                <m:rPr>
                  <m:sty m:val="p"/>
                </m:rPr>
                <m:t>p</m:t>
              </m:r>
              <m:r>
                <m:rPr>
                  <m:sty m:val="p"/>
                </m:rPr>
                <m:t>o</m:t>
              </m:r>
              <m:r>
                <m:rPr>
                  <m:sty m:val="p"/>
                </m:rPr>
                <m:t>s</m:t>
              </m:r>
              <m:r>
                <m:rPr>
                  <m:sty m:val="p"/>
                </m:rPr>
                <m:t>t</m:t>
              </m:r>
            </m:sub>
          </m:sSub>
          <m:r>
            <m:rPr>
              <m:sty m:val="p"/>
            </m:rPr>
            <m:t>,</m:t>
          </m:r>
        </m:oMath>
      </m:oMathPara>
    </w:p>
    <w:p>
      <w:pPr>
        <w:pStyle w:val="FirstParagraph"/>
      </w:pPr>
      <w:r>
        <w:t xml:space="preserve">其中预处理、视觉编码、去噪采样和后处理均应计入。完整 DFormerv2 在 RGB-D 语义分割实验中的 FLOPs 与时间结果不能直接迁移为本方法的实时性结论；本章需在目标 GPU、目标输入分辨率和 batch size 为 1 的条件下实测。</w:t>
      </w:r>
    </w:p>
    <w:bookmarkEnd w:id="37"/>
    <w:bookmarkEnd w:id="38"/>
    <w:bookmarkStart w:id="47" w:name="深度关联的自适应空间特征融合"/>
    <w:p>
      <w:pPr>
        <w:pStyle w:val="Heading2"/>
      </w:pPr>
      <w:r>
        <w:t xml:space="preserve">3.4 深度关联的自适应空间特征融合</w:t>
      </w:r>
    </w:p>
    <w:bookmarkStart w:id="39" w:name="为什么仅有-gsa-还不够"/>
    <w:p>
      <w:pPr>
        <w:pStyle w:val="Heading3"/>
      </w:pPr>
      <w:r>
        <w:t xml:space="preserve">3.4.1 为什么仅有 GSA 还不够</w:t>
      </w:r>
    </w:p>
    <w:p>
      <w:pPr>
        <w:pStyle w:val="FirstParagraph"/>
      </w:pPr>
      <w:r>
        <w:t xml:space="preserve">GSA 的输出仍然是多通道空间特征图。它利用几何差异改变特征交互，但未直接给下游 CNN-DP 提供“某个被关注区域距离相机多远”的紧凑数值描述。若将整个特征图直接全局平均池化，虽然能产生固定维特征，但局部空间位置的直接表征可能被削弱。原始 Diffusion Policy 常通过视觉编码与空间特征聚合向动作网络提供观测条件，因此本章需要研究在保持条件维度固定的情况下，如何组织几何增强特征中潜在的重要区域信息。</w:t>
      </w:r>
    </w:p>
    <w:p>
      <w:pPr>
        <w:pStyle w:val="BodyText"/>
      </w:pPr>
      <w:r>
        <w:t xml:space="preserve">TokenLearner 通过可学习空间权重，将密集特征图映射为少量视觉 Token[3]。本章选择该方法不是因为它必然为当前 CNN-DP 加速——它放在 GSA 后面，并不能减少 GSA 已执行的计算——而是因为其显式的空间权重能够为“局部特征—深度测量”对应关系提供现成桥梁。</w:t>
      </w:r>
    </w:p>
    <w:bookmarkEnd w:id="39"/>
    <w:bookmarkStart w:id="40" w:name="tokenlearner-的空间权重生成"/>
    <w:p>
      <w:pPr>
        <w:pStyle w:val="Heading3"/>
      </w:pPr>
      <w:r>
        <w:t xml:space="preserve">3.4.2 TokenLearner 的空间权重生成</w:t>
      </w:r>
    </w:p>
    <w:p>
      <w:pPr>
        <w:pStyle w:val="FirstParagraph"/>
      </w:pPr>
      <w:r>
        <w:t xml:space="preserve">给定 GSA 增强特征</w:t>
      </w:r>
      <w:r>
        <w:t xml:space="preserve"> </w:t>
      </w:r>
      <m:oMath>
        <m:sSubSup>
          <m:e>
            <m:r>
              <m:t>F</m:t>
            </m:r>
          </m:e>
          <m:sub>
            <m:r>
              <m:t>t</m:t>
            </m:r>
          </m:sub>
          <m:sup>
            <m:r>
              <m:t>g</m:t>
            </m:r>
          </m:sup>
        </m:sSubSup>
        <m:r>
          <m:rPr>
            <m:sty m:val="p"/>
          </m:rPr>
          <m:t>∈</m:t>
        </m:r>
        <m:sSup>
          <m:e>
            <m:r>
              <m:rPr>
                <m:sty m:val="p"/>
                <m:scr m:val="double-struck"/>
              </m:rPr>
              <m:t>R</m:t>
            </m:r>
          </m:e>
          <m:sup>
            <m:r>
              <m:t>C</m:t>
            </m:r>
            <m:r>
              <m:rPr>
                <m:sty m:val="p"/>
              </m:rPr>
              <m:t>×</m:t>
            </m:r>
            <m:r>
              <m:t>h</m:t>
            </m:r>
            <m:r>
              <m:rPr>
                <m:sty m:val="p"/>
              </m:rPr>
              <m:t>×</m:t>
            </m:r>
            <m:r>
              <m:t>w</m:t>
            </m:r>
          </m:sup>
        </m:sSup>
      </m:oMath>
      <w:r>
        <w:t xml:space="preserve">，先由轻量 Token 权重网络生成</w:t>
      </w:r>
      <w:r>
        <w:t xml:space="preserve"> </w:t>
      </w:r>
      <m:oMath>
        <m:r>
          <m:t>K</m:t>
        </m:r>
      </m:oMath>
      <w:r>
        <w:t xml:space="preserve"> </w:t>
      </w:r>
      <w:r>
        <w:t xml:space="preserve">个空间打分图：</w:t>
      </w:r>
    </w:p>
    <w:p>
      <w:pPr>
        <w:pStyle w:val="BodyText"/>
      </w:pPr>
      <m:oMathPara>
        <m:oMathParaPr>
          <m:jc m:val="center"/>
        </m:oMathParaPr>
        <m:oMath>
          <m:sSub>
            <m:e>
              <m:r>
                <m:t>S</m:t>
              </m:r>
            </m:e>
            <m:sub>
              <m:r>
                <m:t>t</m:t>
              </m:r>
            </m:sub>
          </m:sSub>
          <m:r>
            <m:rPr>
              <m:sty m:val="p"/>
            </m:rPr>
            <m:t>=</m:t>
          </m:r>
          <m:sSub>
            <m:e>
              <m:r>
                <m:rPr>
                  <m:sty m:val="p"/>
                  <m:scr m:val="script"/>
                </m:rPr>
                <m:t>T</m:t>
              </m:r>
            </m:e>
            <m:sub>
              <m:r>
                <m:t>ψ</m:t>
              </m:r>
            </m:sub>
          </m:sSub>
          <m:d>
            <m:dPr>
              <m:begChr m:val="("/>
              <m:endChr m:val=")"/>
              <m:sepChr m:val=""/>
              <m:grow/>
            </m:dPr>
            <m:e>
              <m:sSubSup>
                <m:e>
                  <m:r>
                    <m:t>F</m:t>
                  </m:r>
                </m:e>
                <m:sub>
                  <m:r>
                    <m:t>t</m:t>
                  </m:r>
                </m:sub>
                <m:sup>
                  <m:r>
                    <m:t>g</m:t>
                  </m:r>
                </m:sup>
              </m:sSubSup>
            </m:e>
          </m:d>
          <m:r>
            <m:rPr>
              <m:sty m:val="p"/>
            </m:rPr>
            <m:t>∈</m:t>
          </m:r>
          <m:sSup>
            <m:e>
              <m:r>
                <m:rPr>
                  <m:sty m:val="p"/>
                  <m:scr m:val="double-struck"/>
                </m:rPr>
                <m:t>R</m:t>
              </m:r>
            </m:e>
            <m:sup>
              <m:r>
                <m:t>K</m:t>
              </m:r>
              <m:r>
                <m:rPr>
                  <m:sty m:val="p"/>
                </m:rPr>
                <m:t>×</m:t>
              </m:r>
              <m:r>
                <m:t>h</m:t>
              </m:r>
              <m:r>
                <m:rPr>
                  <m:sty m:val="p"/>
                </m:rPr>
                <m:t>×</m:t>
              </m:r>
              <m:r>
                <m:t>w</m:t>
              </m:r>
            </m:sup>
          </m:sSup>
          <m:r>
            <m:rPr>
              <m:sty m:val="p"/>
            </m:rPr>
            <m:t>.</m:t>
          </m:r>
        </m:oMath>
      </m:oMathPara>
    </w:p>
    <w:p>
      <w:pPr>
        <w:pStyle w:val="FirstParagraph"/>
      </w:pPr>
      <w:r>
        <w:t xml:space="preserve">借鉴 TokenLearner 官方实现的 Softmax 版本，在每个 Token 的空间位置上归一化：</w:t>
      </w:r>
    </w:p>
    <w:p>
      <w:pPr>
        <w:pStyle w:val="BodyText"/>
      </w:pPr>
      <m:oMathPara>
        <m:oMathParaPr>
          <m:jc m:val="center"/>
        </m:oMathParaPr>
        <m:oMath>
          <m:sSub>
            <m:e>
              <m:r>
                <m:t>π</m:t>
              </m:r>
            </m:e>
            <m:sub>
              <m:r>
                <m:t>t</m:t>
              </m:r>
              <m:r>
                <m:rPr>
                  <m:sty m:val="p"/>
                </m:rPr>
                <m:t>,</m:t>
              </m:r>
              <m:r>
                <m:t>j</m:t>
              </m:r>
            </m:sub>
          </m:sSub>
          <m:d>
            <m:dPr>
              <m:begChr m:val="("/>
              <m:endChr m:val=")"/>
              <m:sepChr m:val=""/>
              <m:grow/>
            </m:dPr>
            <m:e>
              <m:r>
                <m:t>u</m:t>
              </m:r>
              <m:r>
                <m:rPr>
                  <m:sty m:val="p"/>
                </m:rPr>
                <m:t>,</m:t>
              </m:r>
              <m:r>
                <m:t>v</m:t>
              </m:r>
            </m:e>
          </m:d>
          <m:r>
            <m:rPr>
              <m:sty m:val="p"/>
            </m:rPr>
            <m:t>=</m:t>
          </m:r>
          <m:f>
            <m:fPr>
              <m:type m:val="bar"/>
            </m:fPr>
            <m:num>
              <m:r>
                <m:rPr>
                  <m:sty m:val="p"/>
                </m:rPr>
                <m:t>exp</m:t>
              </m:r>
              <m:d>
                <m:dPr>
                  <m:begChr m:val="("/>
                  <m:endChr m:val=")"/>
                  <m:sepChr m:val=""/>
                  <m:grow/>
                </m:dPr>
                <m:e>
                  <m:sSub>
                    <m:e>
                      <m:r>
                        <m:t>S</m:t>
                      </m:r>
                    </m:e>
                    <m:sub>
                      <m:r>
                        <m:t>t</m:t>
                      </m:r>
                      <m:r>
                        <m:rPr>
                          <m:sty m:val="p"/>
                        </m:rPr>
                        <m:t>,</m:t>
                      </m:r>
                      <m:r>
                        <m:t>j</m:t>
                      </m:r>
                    </m:sub>
                  </m:sSub>
                  <m:d>
                    <m:dPr>
                      <m:begChr m:val="("/>
                      <m:endChr m:val=")"/>
                      <m:sepChr m:val=""/>
                      <m:grow/>
                    </m:dPr>
                    <m:e>
                      <m:r>
                        <m:t>u</m:t>
                      </m:r>
                      <m:r>
                        <m:rPr>
                          <m:sty m:val="p"/>
                        </m:rPr>
                        <m:t>,</m:t>
                      </m:r>
                      <m:r>
                        <m:t>v</m:t>
                      </m:r>
                    </m:e>
                  </m:d>
                </m:e>
              </m:d>
            </m:num>
            <m:den>
              <m:nary>
                <m:naryPr>
                  <m:chr m:val="∑"/>
                  <m:limLoc m:val="undOvr"/>
                  <m:subHide m:val="off"/>
                  <m:supHide m:val="on"/>
                </m:naryPr>
                <m:sub>
                  <m:r>
                    <m:t>u</m:t>
                  </m:r>
                  <m:r>
                    <m:rPr>
                      <m:sty m:val="p"/>
                    </m:rPr>
                    <m:t>′</m:t>
                  </m:r>
                  <m:r>
                    <m:rPr>
                      <m:sty m:val="p"/>
                    </m:rPr>
                    <m:t>,</m:t>
                  </m:r>
                  <m:r>
                    <m:t>v</m:t>
                  </m:r>
                  <m:r>
                    <m:rPr>
                      <m:sty m:val="p"/>
                    </m:rPr>
                    <m:t>′</m:t>
                  </m:r>
                </m:sub>
                <m:sup>
                  <m:r>
                    <m:t>​</m:t>
                  </m:r>
                </m:sup>
                <m:e>
                  <m:r>
                    <m:rPr>
                      <m:sty m:val="p"/>
                    </m:rPr>
                    <m:t>exp</m:t>
                  </m:r>
                </m:e>
              </m:nary>
              <m:d>
                <m:dPr>
                  <m:begChr m:val="("/>
                  <m:endChr m:val=")"/>
                  <m:sepChr m:val=""/>
                  <m:grow/>
                </m:dPr>
                <m:e>
                  <m:sSub>
                    <m:e>
                      <m:r>
                        <m:t>S</m:t>
                      </m:r>
                    </m:e>
                    <m:sub>
                      <m:r>
                        <m:t>t</m:t>
                      </m:r>
                      <m:r>
                        <m:rPr>
                          <m:sty m:val="p"/>
                        </m:rPr>
                        <m:t>,</m:t>
                      </m:r>
                      <m:r>
                        <m:t>j</m:t>
                      </m:r>
                    </m:sub>
                  </m:sSub>
                  <m:d>
                    <m:dPr>
                      <m:begChr m:val="("/>
                      <m:endChr m:val=")"/>
                      <m:sepChr m:val=""/>
                      <m:grow/>
                    </m:dPr>
                    <m:e>
                      <m:r>
                        <m:t>u</m:t>
                      </m:r>
                      <m:r>
                        <m:rPr>
                          <m:sty m:val="p"/>
                        </m:rPr>
                        <m:t>′</m:t>
                      </m:r>
                      <m:r>
                        <m:rPr>
                          <m:sty m:val="p"/>
                        </m:rPr>
                        <m:t>,</m:t>
                      </m:r>
                      <m:r>
                        <m:t>v</m:t>
                      </m:r>
                      <m:r>
                        <m:rPr>
                          <m:sty m:val="p"/>
                        </m:rPr>
                        <m:t>′</m:t>
                      </m:r>
                    </m:e>
                  </m:d>
                </m:e>
              </m:d>
            </m:den>
          </m:f>
          <m:r>
            <m:rPr>
              <m:sty m:val="p"/>
            </m:rPr>
            <m:t>,</m:t>
          </m:r>
          <m:r>
            <m:t> </m:t>
          </m:r>
          <m:r>
            <m:t>j</m:t>
          </m:r>
          <m:r>
            <m:rPr>
              <m:sty m:val="p"/>
            </m:rPr>
            <m:t>=</m:t>
          </m:r>
          <m:r>
            <m:t>1</m:t>
          </m:r>
          <m:r>
            <m:rPr>
              <m:sty m:val="p"/>
            </m:rPr>
            <m:t>,</m:t>
          </m:r>
          <m:r>
            <m:rPr>
              <m:sty m:val="p"/>
            </m:rPr>
            <m:t>…</m:t>
          </m:r>
          <m:r>
            <m:rPr>
              <m:sty m:val="p"/>
            </m:rPr>
            <m:t>,</m:t>
          </m:r>
          <m:r>
            <m:t>K</m:t>
          </m:r>
          <m:r>
            <m:rPr>
              <m:sty m:val="p"/>
            </m:rPr>
            <m:t>.</m:t>
          </m:r>
        </m:oMath>
      </m:oMathPara>
    </w:p>
    <w:p>
      <w:pPr>
        <w:pStyle w:val="FirstParagraph"/>
      </w:pPr>
      <w:r>
        <w:t xml:space="preserve">第</w:t>
      </w:r>
      <w:r>
        <w:t xml:space="preserve"> </w:t>
      </w:r>
      <m:oMath>
        <m:r>
          <m:t>j</m:t>
        </m:r>
      </m:oMath>
      <w:r>
        <w:t xml:space="preserve"> </w:t>
      </w:r>
      <w:r>
        <w:t xml:space="preserve">个视觉 Token 由同一空间权重对特征图加权求和获得：</w:t>
      </w:r>
    </w:p>
    <w:p>
      <w:pPr>
        <w:pStyle w:val="BodyText"/>
      </w:pPr>
      <m:oMathPara>
        <m:oMathParaPr>
          <m:jc m:val="center"/>
        </m:oMathParaPr>
        <m:oMath>
          <m:sSub>
            <m:e>
              <m:r>
                <m:t>z</m:t>
              </m:r>
            </m:e>
            <m:sub>
              <m:r>
                <m:t>t</m:t>
              </m:r>
              <m:r>
                <m:rPr>
                  <m:sty m:val="p"/>
                </m:rPr>
                <m:t>,</m:t>
              </m:r>
              <m:r>
                <m:t>j</m:t>
              </m:r>
            </m:sub>
          </m:sSub>
          <m:r>
            <m:rPr>
              <m:sty m:val="p"/>
            </m:rPr>
            <m:t>=</m:t>
          </m:r>
          <m:nary>
            <m:naryPr>
              <m:chr m:val="∑"/>
              <m:limLoc m:val="undOvr"/>
              <m:subHide m:val="off"/>
              <m:supHide m:val="on"/>
            </m:naryPr>
            <m:sub>
              <m:r>
                <m:t>u</m:t>
              </m:r>
              <m:r>
                <m:rPr>
                  <m:sty m:val="p"/>
                </m:rPr>
                <m:t>,</m:t>
              </m:r>
              <m:r>
                <m:t>v</m:t>
              </m:r>
            </m:sub>
            <m:sup>
              <m:r>
                <m:t>​</m:t>
              </m:r>
            </m:sup>
            <m:e>
              <m:sSub>
                <m:e>
                  <m:r>
                    <m:t>π</m:t>
                  </m:r>
                </m:e>
                <m:sub>
                  <m:r>
                    <m:t>t</m:t>
                  </m:r>
                  <m:r>
                    <m:rPr>
                      <m:sty m:val="p"/>
                    </m:rPr>
                    <m:t>,</m:t>
                  </m:r>
                  <m:r>
                    <m:t>j</m:t>
                  </m:r>
                </m:sub>
              </m:sSub>
            </m:e>
          </m:nary>
          <m:d>
            <m:dPr>
              <m:begChr m:val="("/>
              <m:endChr m:val=")"/>
              <m:sepChr m:val=""/>
              <m:grow/>
            </m:dPr>
            <m:e>
              <m:r>
                <m:t>u</m:t>
              </m:r>
              <m:r>
                <m:rPr>
                  <m:sty m:val="p"/>
                </m:rPr>
                <m:t>,</m:t>
              </m:r>
              <m:r>
                <m:t>v</m:t>
              </m:r>
            </m:e>
          </m:d>
          <m:sSubSup>
            <m:e>
              <m:r>
                <m:t>F</m:t>
              </m:r>
            </m:e>
            <m:sub>
              <m:r>
                <m:t>t</m:t>
              </m:r>
            </m:sub>
            <m:sup>
              <m:r>
                <m:t>g</m:t>
              </m:r>
            </m:sup>
          </m:sSubSup>
          <m:d>
            <m:dPr>
              <m:begChr m:val="("/>
              <m:endChr m:val=")"/>
              <m:sepChr m:val=""/>
              <m:grow/>
            </m:dPr>
            <m:e>
              <m:r>
                <m:rPr>
                  <m:sty m:val="p"/>
                </m:rPr>
                <m:t>:</m:t>
              </m:r>
              <m:r>
                <m:rPr>
                  <m:sty m:val="p"/>
                </m:rPr>
                <m:t>,</m:t>
              </m:r>
              <m:r>
                <m:t>u</m:t>
              </m:r>
              <m:r>
                <m:rPr>
                  <m:sty m:val="p"/>
                </m:rPr>
                <m:t>,</m:t>
              </m:r>
              <m:r>
                <m:t>v</m:t>
              </m:r>
            </m:e>
          </m:d>
          <m:r>
            <m:rPr>
              <m:sty m:val="p"/>
            </m:rPr>
            <m:t>∈</m:t>
          </m:r>
          <m:sSup>
            <m:e>
              <m:r>
                <m:rPr>
                  <m:sty m:val="p"/>
                  <m:scr m:val="double-struck"/>
                </m:rPr>
                <m:t>R</m:t>
              </m:r>
            </m:e>
            <m:sup>
              <m:r>
                <m:t>C</m:t>
              </m:r>
            </m:sup>
          </m:sSup>
          <m:r>
            <m:rPr>
              <m:sty m:val="p"/>
            </m:rPr>
            <m:t>.</m:t>
          </m:r>
        </m:oMath>
      </m:oMathPara>
    </w:p>
    <w:p>
      <w:pPr>
        <w:pStyle w:val="FirstParagraph"/>
      </w:pPr>
      <w:r>
        <w:t xml:space="preserve">本章初步选择</w:t>
      </w:r>
      <w:r>
        <w:t xml:space="preserve"> </w:t>
      </w:r>
      <m:oMath>
        <m:r>
          <m:t>K</m:t>
        </m:r>
        <m:r>
          <m:rPr>
            <m:sty m:val="p"/>
          </m:rPr>
          <m:t>=</m:t>
        </m:r>
        <m:r>
          <m:t>8</m:t>
        </m:r>
      </m:oMath>
      <w:r>
        <w:t xml:space="preserve">，并将</w:t>
      </w:r>
      <w:r>
        <w:t xml:space="preserve"> </w:t>
      </w:r>
      <m:oMath>
        <m:r>
          <m:t>K</m:t>
        </m:r>
        <m:r>
          <m:rPr>
            <m:sty m:val="p"/>
          </m:rPr>
          <m:t>=</m:t>
        </m:r>
        <m:r>
          <m:t>4</m:t>
        </m:r>
        <m:r>
          <m:rPr>
            <m:sty m:val="p"/>
          </m:rPr>
          <m:t>,</m:t>
        </m:r>
        <m:r>
          <m:t>8</m:t>
        </m:r>
        <m:r>
          <m:rPr>
            <m:sty m:val="p"/>
          </m:rPr>
          <m:t>,</m:t>
        </m:r>
        <m:r>
          <m:t>16</m:t>
        </m:r>
      </m:oMath>
      <w:r>
        <w:t xml:space="preserve"> </w:t>
      </w:r>
      <w:r>
        <w:t xml:space="preserve">作为可选参数分析。TokenLearner 的权重图由端到端动作去噪损失间接学习，不要求物体掩码、关键点坐标或目标类别标注。因此，不能预先假定八个 Token 分别对应八个物体；一个 Token 也可能同时聚合多个相邻区域。</w:t>
      </w:r>
    </w:p>
    <w:bookmarkEnd w:id="40"/>
    <w:bookmarkStart w:id="44" w:name="本章改造复用空间权重关联测量深度"/>
    <w:p>
      <w:pPr>
        <w:pStyle w:val="Heading3"/>
      </w:pPr>
      <w:r>
        <w:t xml:space="preserve">3.4.3 本章改造：复用空间权重关联测量深度</w:t>
      </w:r>
    </w:p>
    <w:p>
      <w:pPr>
        <w:pStyle w:val="FirstParagraph"/>
      </w:pPr>
      <w:r>
        <w:t xml:space="preserve">本章的主要适配设计是：保留式（3-14）的视觉 Token，同时用完全相同的</w:t>
      </w:r>
      <w:r>
        <w:t xml:space="preserve"> </w:t>
      </w:r>
      <m:oMath>
        <m:sSub>
          <m:e>
            <m:r>
              <m:t>π</m:t>
            </m:r>
          </m:e>
          <m:sub>
            <m:r>
              <m:t>t</m:t>
            </m:r>
            <m:r>
              <m:rPr>
                <m:sty m:val="p"/>
              </m:rPr>
              <m:t>,</m:t>
            </m:r>
            <m:r>
              <m:t>j</m:t>
            </m:r>
          </m:sub>
        </m:sSub>
      </m:oMath>
      <w:r>
        <w:t xml:space="preserve"> </w:t>
      </w:r>
      <w:r>
        <w:t xml:space="preserve">对二维图像位置与对齐深度图进行加权聚合，形成视觉特征及局部几何描述的联合 Token。</w:t>
      </w:r>
    </w:p>
    <w:p>
      <w:pPr>
        <w:pStyle w:val="BodyText"/>
      </w:pPr>
      <w:r>
        <w:t xml:space="preserve">首先，将与</w:t>
      </w:r>
      <w:r>
        <w:t xml:space="preserve"> </w:t>
      </w:r>
      <m:oMath>
        <m:sSubSup>
          <m:e>
            <m:r>
              <m:t>F</m:t>
            </m:r>
          </m:e>
          <m:sub>
            <m:r>
              <m:t>t</m:t>
            </m:r>
          </m:sub>
          <m:sup>
            <m:r>
              <m:t>g</m:t>
            </m:r>
          </m:sup>
        </m:sSubSup>
      </m:oMath>
      <w:r>
        <w:t xml:space="preserve"> </w:t>
      </w:r>
      <w:r>
        <w:t xml:space="preserve">对齐的深度图记为</w:t>
      </w:r>
      <w:r>
        <w:t xml:space="preserve"> </w:t>
      </w:r>
      <m:oMath>
        <m:sSub>
          <m:e>
            <m:acc>
              <m:accPr>
                <m:chr m:val="̃"/>
              </m:accPr>
              <m:e>
                <m:r>
                  <m:t>D</m:t>
                </m:r>
              </m:e>
            </m:acc>
          </m:e>
          <m:sub>
            <m:r>
              <m:t>t</m:t>
            </m:r>
          </m:sub>
        </m:sSub>
        <m:d>
          <m:dPr>
            <m:begChr m:val="("/>
            <m:endChr m:val=")"/>
            <m:sepChr m:val=""/>
            <m:grow/>
          </m:dPr>
          <m:e>
            <m:r>
              <m:t>u</m:t>
            </m:r>
            <m:r>
              <m:rPr>
                <m:sty m:val="p"/>
              </m:rPr>
              <m:t>,</m:t>
            </m:r>
            <m:r>
              <m:t>v</m:t>
            </m:r>
          </m:e>
        </m:d>
      </m:oMath>
      <w:r>
        <w:t xml:space="preserve">，有效深度掩码为</w:t>
      </w:r>
      <w:r>
        <w:t xml:space="preserve"> </w:t>
      </w:r>
      <m:oMath>
        <m:sSub>
          <m:e>
            <m:r>
              <m:t>m</m:t>
            </m:r>
          </m:e>
          <m:sub>
            <m:r>
              <m:t>t</m:t>
            </m:r>
          </m:sub>
        </m:sSub>
        <m:d>
          <m:dPr>
            <m:begChr m:val="("/>
            <m:endChr m:val=")"/>
            <m:sepChr m:val=""/>
            <m:grow/>
          </m:dPr>
          <m:e>
            <m:r>
              <m:t>u</m:t>
            </m:r>
            <m:r>
              <m:rPr>
                <m:sty m:val="p"/>
              </m:rPr>
              <m:t>,</m:t>
            </m:r>
            <m:r>
              <m:t>v</m:t>
            </m:r>
          </m:e>
        </m:d>
        <m:r>
          <m:rPr>
            <m:sty m:val="p"/>
          </m:rPr>
          <m:t>∈</m:t>
        </m:r>
        <m:r>
          <m:rPr>
            <m:sty m:val="p"/>
          </m:rPr>
          <m:t>{</m:t>
        </m:r>
        <m:r>
          <m:t>0</m:t>
        </m:r>
        <m:r>
          <m:rPr>
            <m:sty m:val="p"/>
          </m:rPr>
          <m:t>,</m:t>
        </m:r>
        <m:r>
          <m:t>1</m:t>
        </m:r>
        <m:r>
          <m:rPr>
            <m:sty m:val="p"/>
          </m:rPr>
          <m:t>}</m:t>
        </m:r>
      </m:oMath>
      <w:r>
        <w:t xml:space="preserve">。令像素坐标</w:t>
      </w:r>
      <w:r>
        <w:t xml:space="preserve"> </w:t>
      </w:r>
      <m:oMath>
        <m:r>
          <m:t>u</m:t>
        </m:r>
        <m:r>
          <m:rPr>
            <m:sty m:val="p"/>
          </m:rPr>
          <m:t>,</m:t>
        </m:r>
        <m:r>
          <m:t>v</m:t>
        </m:r>
      </m:oMath>
      <w:r>
        <w:t xml:space="preserve"> </w:t>
      </w:r>
      <w:r>
        <w:t xml:space="preserve">按特征网格或映射回原始图像的规则归一化至</w:t>
      </w:r>
      <w:r>
        <w:t xml:space="preserve"> </w:t>
      </w:r>
      <m:oMath>
        <m:d>
          <m:dPr>
            <m:begChr m:val="["/>
            <m:endChr m:val="]"/>
            <m:sepChr m:val=""/>
            <m:grow/>
          </m:dPr>
          <m:e>
            <m:r>
              <m:rPr>
                <m:sty m:val="p"/>
              </m:rPr>
              <m:t>−</m:t>
            </m:r>
            <m:r>
              <m:t>1</m:t>
            </m:r>
            <m:r>
              <m:rPr>
                <m:sty m:val="p"/>
              </m:rPr>
              <m:t>,</m:t>
            </m:r>
            <m:r>
              <m:t>1</m:t>
            </m:r>
          </m:e>
        </m:d>
      </m:oMath>
      <w:r>
        <w:t xml:space="preserve">，定义加权图像位置：</w:t>
      </w:r>
    </w:p>
    <w:p>
      <w:pPr>
        <w:pStyle w:val="BodyText"/>
      </w:pPr>
      <m:oMathPara>
        <m:oMathParaPr>
          <m:jc m:val="center"/>
        </m:oMathParaPr>
        <m:oMath>
          <m:sSub>
            <m:e>
              <m:acc>
                <m:accPr>
                  <m:chr m:val="‾"/>
                </m:accPr>
                <m:e>
                  <m:r>
                    <m:t>u</m:t>
                  </m:r>
                </m:e>
              </m:acc>
            </m:e>
            <m:sub>
              <m:r>
                <m:t>t</m:t>
              </m:r>
              <m:r>
                <m:rPr>
                  <m:sty m:val="p"/>
                </m:rPr>
                <m:t>,</m:t>
              </m:r>
              <m:r>
                <m:t>j</m:t>
              </m:r>
            </m:sub>
          </m:sSub>
          <m:r>
            <m:rPr>
              <m:sty m:val="p"/>
            </m:rPr>
            <m:t>=</m:t>
          </m:r>
          <m:nary>
            <m:naryPr>
              <m:chr m:val="∑"/>
              <m:limLoc m:val="undOvr"/>
              <m:subHide m:val="off"/>
              <m:supHide m:val="on"/>
            </m:naryPr>
            <m:sub>
              <m:r>
                <m:t>u</m:t>
              </m:r>
              <m:r>
                <m:rPr>
                  <m:sty m:val="p"/>
                </m:rPr>
                <m:t>,</m:t>
              </m:r>
              <m:r>
                <m:t>v</m:t>
              </m:r>
            </m:sub>
            <m:sup>
              <m:r>
                <m:t>​</m:t>
              </m:r>
            </m:sup>
            <m:e>
              <m:sSub>
                <m:e>
                  <m:r>
                    <m:t>π</m:t>
                  </m:r>
                </m:e>
                <m:sub>
                  <m:r>
                    <m:t>t</m:t>
                  </m:r>
                  <m:r>
                    <m:rPr>
                      <m:sty m:val="p"/>
                    </m:rPr>
                    <m:t>,</m:t>
                  </m:r>
                  <m:r>
                    <m:t>j</m:t>
                  </m:r>
                </m:sub>
              </m:sSub>
            </m:e>
          </m:nary>
          <m:d>
            <m:dPr>
              <m:begChr m:val="("/>
              <m:endChr m:val=")"/>
              <m:sepChr m:val=""/>
              <m:grow/>
            </m:dPr>
            <m:e>
              <m:r>
                <m:t>u</m:t>
              </m:r>
              <m:r>
                <m:rPr>
                  <m:sty m:val="p"/>
                </m:rPr>
                <m:t>,</m:t>
              </m:r>
              <m:r>
                <m:t>v</m:t>
              </m:r>
            </m:e>
          </m:d>
          <m:r>
            <m:t> </m:t>
          </m:r>
          <m:r>
            <m:t>u</m:t>
          </m:r>
          <m:r>
            <m:rPr>
              <m:sty m:val="p"/>
            </m:rPr>
            <m:t>,</m:t>
          </m:r>
          <m:r>
            <m:t>  </m:t>
          </m:r>
          <m:sSub>
            <m:e>
              <m:acc>
                <m:accPr>
                  <m:chr m:val="‾"/>
                </m:accPr>
                <m:e>
                  <m:r>
                    <m:t>v</m:t>
                  </m:r>
                </m:e>
              </m:acc>
            </m:e>
            <m:sub>
              <m:r>
                <m:t>t</m:t>
              </m:r>
              <m:r>
                <m:rPr>
                  <m:sty m:val="p"/>
                </m:rPr>
                <m:t>,</m:t>
              </m:r>
              <m:r>
                <m:t>j</m:t>
              </m:r>
            </m:sub>
          </m:sSub>
          <m:r>
            <m:rPr>
              <m:sty m:val="p"/>
            </m:rPr>
            <m:t>=</m:t>
          </m:r>
          <m:nary>
            <m:naryPr>
              <m:chr m:val="∑"/>
              <m:limLoc m:val="undOvr"/>
              <m:subHide m:val="off"/>
              <m:supHide m:val="on"/>
            </m:naryPr>
            <m:sub>
              <m:r>
                <m:t>u</m:t>
              </m:r>
              <m:r>
                <m:rPr>
                  <m:sty m:val="p"/>
                </m:rPr>
                <m:t>,</m:t>
              </m:r>
              <m:r>
                <m:t>v</m:t>
              </m:r>
            </m:sub>
            <m:sup>
              <m:r>
                <m:t>​</m:t>
              </m:r>
            </m:sup>
            <m:e>
              <m:sSub>
                <m:e>
                  <m:r>
                    <m:t>π</m:t>
                  </m:r>
                </m:e>
                <m:sub>
                  <m:r>
                    <m:t>t</m:t>
                  </m:r>
                  <m:r>
                    <m:rPr>
                      <m:sty m:val="p"/>
                    </m:rPr>
                    <m:t>,</m:t>
                  </m:r>
                  <m:r>
                    <m:t>j</m:t>
                  </m:r>
                </m:sub>
              </m:sSub>
            </m:e>
          </m:nary>
          <m:d>
            <m:dPr>
              <m:begChr m:val="("/>
              <m:endChr m:val=")"/>
              <m:sepChr m:val=""/>
              <m:grow/>
            </m:dPr>
            <m:e>
              <m:r>
                <m:t>u</m:t>
              </m:r>
              <m:r>
                <m:rPr>
                  <m:sty m:val="p"/>
                </m:rPr>
                <m:t>,</m:t>
              </m:r>
              <m:r>
                <m:t>v</m:t>
              </m:r>
            </m:e>
          </m:d>
          <m:r>
            <m:t> </m:t>
          </m:r>
          <m:r>
            <m:t>v</m:t>
          </m:r>
          <m:r>
            <m:rPr>
              <m:sty m:val="p"/>
            </m:rPr>
            <m:t>.</m:t>
          </m:r>
        </m:oMath>
      </m:oMathPara>
    </w:p>
    <w:p>
      <w:pPr>
        <w:pStyle w:val="FirstParagraph"/>
      </w:pPr>
      <w:r>
        <w:t xml:space="preserve">再定义深度有效比例：</w:t>
      </w:r>
    </w:p>
    <w:p>
      <w:pPr>
        <w:pStyle w:val="BodyText"/>
      </w:pPr>
      <m:oMathPara>
        <m:oMathParaPr>
          <m:jc m:val="center"/>
        </m:oMathParaPr>
        <m:oMath>
          <m:sSub>
            <m:e>
              <m:r>
                <m:t>ρ</m:t>
              </m:r>
            </m:e>
            <m:sub>
              <m:r>
                <m:t>t</m:t>
              </m:r>
              <m:r>
                <m:rPr>
                  <m:sty m:val="p"/>
                </m:rPr>
                <m:t>,</m:t>
              </m:r>
              <m:r>
                <m:t>j</m:t>
              </m:r>
            </m:sub>
          </m:sSub>
          <m:r>
            <m:rPr>
              <m:sty m:val="p"/>
            </m:rPr>
            <m:t>=</m:t>
          </m:r>
          <m:nary>
            <m:naryPr>
              <m:chr m:val="∑"/>
              <m:limLoc m:val="undOvr"/>
              <m:subHide m:val="off"/>
              <m:supHide m:val="on"/>
            </m:naryPr>
            <m:sub>
              <m:r>
                <m:t>u</m:t>
              </m:r>
              <m:r>
                <m:rPr>
                  <m:sty m:val="p"/>
                </m:rPr>
                <m:t>,</m:t>
              </m:r>
              <m:r>
                <m:t>v</m:t>
              </m:r>
            </m:sub>
            <m:sup>
              <m:r>
                <m:t>​</m:t>
              </m:r>
            </m:sup>
            <m:e>
              <m:sSub>
                <m:e>
                  <m:r>
                    <m:t>π</m:t>
                  </m:r>
                </m:e>
                <m:sub>
                  <m:r>
                    <m:t>t</m:t>
                  </m:r>
                  <m:r>
                    <m:rPr>
                      <m:sty m:val="p"/>
                    </m:rPr>
                    <m:t>,</m:t>
                  </m:r>
                  <m:r>
                    <m:t>j</m:t>
                  </m:r>
                </m:sub>
              </m:sSub>
            </m:e>
          </m:nary>
          <m:d>
            <m:dPr>
              <m:begChr m:val="("/>
              <m:endChr m:val=")"/>
              <m:sepChr m:val=""/>
              <m:grow/>
            </m:dPr>
            <m:e>
              <m:r>
                <m:t>u</m:t>
              </m:r>
              <m:r>
                <m:rPr>
                  <m:sty m:val="p"/>
                </m:rPr>
                <m:t>,</m:t>
              </m:r>
              <m:r>
                <m:t>v</m:t>
              </m:r>
            </m:e>
          </m:d>
          <m:sSub>
            <m:e>
              <m:r>
                <m:t>m</m:t>
              </m:r>
            </m:e>
            <m:sub>
              <m:r>
                <m:t>t</m:t>
              </m:r>
            </m:sub>
          </m:sSub>
          <m:d>
            <m:dPr>
              <m:begChr m:val="("/>
              <m:endChr m:val=")"/>
              <m:sepChr m:val=""/>
              <m:grow/>
            </m:dPr>
            <m:e>
              <m:r>
                <m:t>u</m:t>
              </m:r>
              <m:r>
                <m:rPr>
                  <m:sty m:val="p"/>
                </m:rPr>
                <m:t>,</m:t>
              </m:r>
              <m:r>
                <m:t>v</m:t>
              </m:r>
            </m:e>
          </m:d>
          <m:r>
            <m:rPr>
              <m:sty m:val="p"/>
            </m:rPr>
            <m:t>.</m:t>
          </m:r>
        </m:oMath>
      </m:oMathPara>
    </w:p>
    <w:p>
      <w:pPr>
        <w:pStyle w:val="FirstParagraph"/>
      </w:pPr>
      <w:r>
        <w:t xml:space="preserve">将无效深度排除后的加权深度写为</w:t>
      </w:r>
    </w:p>
    <w:p>
      <w:pPr>
        <w:pStyle w:val="BodyText"/>
      </w:pPr>
      <m:oMathPara>
        <m:oMathParaPr>
          <m:jc m:val="center"/>
        </m:oMathParaPr>
        <m:oMath>
          <m:sSub>
            <m:e>
              <m:acc>
                <m:accPr>
                  <m:chr m:val="‾"/>
                </m:accPr>
                <m:e>
                  <m:r>
                    <m:t>d</m:t>
                  </m:r>
                </m:e>
              </m:acc>
            </m:e>
            <m:sub>
              <m:r>
                <m:t>t</m:t>
              </m:r>
              <m:r>
                <m:rPr>
                  <m:sty m:val="p"/>
                </m:rPr>
                <m:t>,</m:t>
              </m:r>
              <m:r>
                <m:t>j</m:t>
              </m:r>
            </m:sub>
          </m:sSub>
          <m:r>
            <m:rPr>
              <m:sty m:val="p"/>
            </m:rPr>
            <m:t>=</m:t>
          </m:r>
          <m:f>
            <m:fPr>
              <m:type m:val="bar"/>
            </m:fPr>
            <m:num>
              <m:nary>
                <m:naryPr>
                  <m:chr m:val="∑"/>
                  <m:limLoc m:val="undOvr"/>
                  <m:subHide m:val="off"/>
                  <m:supHide m:val="on"/>
                </m:naryPr>
                <m:sub>
                  <m:r>
                    <m:t>u</m:t>
                  </m:r>
                  <m:r>
                    <m:rPr>
                      <m:sty m:val="p"/>
                    </m:rPr>
                    <m:t>,</m:t>
                  </m:r>
                  <m:r>
                    <m:t>v</m:t>
                  </m:r>
                </m:sub>
                <m:sup>
                  <m:r>
                    <m:t>​</m:t>
                  </m:r>
                </m:sup>
                <m:e>
                  <m:sSub>
                    <m:e>
                      <m:r>
                        <m:t>π</m:t>
                      </m:r>
                    </m:e>
                    <m:sub>
                      <m:r>
                        <m:t>t</m:t>
                      </m:r>
                      <m:r>
                        <m:rPr>
                          <m:sty m:val="p"/>
                        </m:rPr>
                        <m:t>,</m:t>
                      </m:r>
                      <m:r>
                        <m:t>j</m:t>
                      </m:r>
                    </m:sub>
                  </m:sSub>
                </m:e>
              </m:nary>
              <m:d>
                <m:dPr>
                  <m:begChr m:val="("/>
                  <m:endChr m:val=")"/>
                  <m:sepChr m:val=""/>
                  <m:grow/>
                </m:dPr>
                <m:e>
                  <m:r>
                    <m:t>u</m:t>
                  </m:r>
                  <m:r>
                    <m:rPr>
                      <m:sty m:val="p"/>
                    </m:rPr>
                    <m:t>,</m:t>
                  </m:r>
                  <m:r>
                    <m:t>v</m:t>
                  </m:r>
                </m:e>
              </m:d>
              <m:sSub>
                <m:e>
                  <m:r>
                    <m:t>m</m:t>
                  </m:r>
                </m:e>
                <m:sub>
                  <m:r>
                    <m:t>t</m:t>
                  </m:r>
                </m:sub>
              </m:sSub>
              <m:d>
                <m:dPr>
                  <m:begChr m:val="("/>
                  <m:endChr m:val=")"/>
                  <m:sepChr m:val=""/>
                  <m:grow/>
                </m:dPr>
                <m:e>
                  <m:r>
                    <m:t>u</m:t>
                  </m:r>
                  <m:r>
                    <m:rPr>
                      <m:sty m:val="p"/>
                    </m:rPr>
                    <m:t>,</m:t>
                  </m:r>
                  <m:r>
                    <m:t>v</m:t>
                  </m:r>
                </m:e>
              </m:d>
              <m:sSub>
                <m:e>
                  <m:acc>
                    <m:accPr>
                      <m:chr m:val="̃"/>
                    </m:accPr>
                    <m:e>
                      <m:r>
                        <m:t>D</m:t>
                      </m:r>
                    </m:e>
                  </m:acc>
                </m:e>
                <m:sub>
                  <m:r>
                    <m:t>t</m:t>
                  </m:r>
                </m:sub>
              </m:sSub>
              <m:d>
                <m:dPr>
                  <m:begChr m:val="("/>
                  <m:endChr m:val=")"/>
                  <m:sepChr m:val=""/>
                  <m:grow/>
                </m:dPr>
                <m:e>
                  <m:r>
                    <m:t>u</m:t>
                  </m:r>
                  <m:r>
                    <m:rPr>
                      <m:sty m:val="p"/>
                    </m:rPr>
                    <m:t>,</m:t>
                  </m:r>
                  <m:r>
                    <m:t>v</m:t>
                  </m:r>
                </m:e>
              </m:d>
            </m:num>
            <m:den>
              <m:sSub>
                <m:e>
                  <m:r>
                    <m:t>ρ</m:t>
                  </m:r>
                </m:e>
                <m:sub>
                  <m:r>
                    <m:t>t</m:t>
                  </m:r>
                  <m:r>
                    <m:rPr>
                      <m:sty m:val="p"/>
                    </m:rPr>
                    <m:t>,</m:t>
                  </m:r>
                  <m:r>
                    <m:t>j</m:t>
                  </m:r>
                </m:sub>
              </m:sSub>
              <m:r>
                <m:rPr>
                  <m:sty m:val="p"/>
                </m:rPr>
                <m:t>+</m:t>
              </m:r>
              <m:r>
                <m:t>ε</m:t>
              </m:r>
            </m:den>
          </m:f>
          <m:r>
            <m:rPr>
              <m:sty m:val="p"/>
            </m:rPr>
            <m:t>.</m:t>
          </m:r>
        </m:oMath>
      </m:oMathPara>
    </w:p>
    <w:p>
      <w:pPr>
        <w:pStyle w:val="FirstParagraph"/>
      </w:pPr>
      <w:r>
        <w:t xml:space="preserve">当</w:t>
      </w:r>
      <w:r>
        <w:t xml:space="preserve"> </w:t>
      </w:r>
      <m:oMath>
        <m:sSub>
          <m:e>
            <m:r>
              <m:t>ρ</m:t>
            </m:r>
          </m:e>
          <m:sub>
            <m:r>
              <m:t>t</m:t>
            </m:r>
            <m:r>
              <m:rPr>
                <m:sty m:val="p"/>
              </m:rPr>
              <m:t>,</m:t>
            </m:r>
            <m:r>
              <m:t>j</m:t>
            </m:r>
          </m:sub>
        </m:sSub>
      </m:oMath>
      <w:r>
        <w:t xml:space="preserve"> </w:t>
      </w:r>
      <w:r>
        <w:t xml:space="preserve">接近零时，将深度描述设置为固定缺失值，并由有效比例显式提示网络；不能把缺失位置直接解释为零米。将上述数值与原始 Token 拼接：</w:t>
      </w:r>
    </w:p>
    <w:p>
      <w:pPr>
        <w:pStyle w:val="BodyText"/>
      </w:pPr>
      <m:oMathPara>
        <m:oMathParaPr>
          <m:jc m:val="center"/>
        </m:oMathParaPr>
        <m:oMath>
          <m:borderBox>
            <m:e>
              <m:sSub>
                <m:e>
                  <m:r>
                    <m:t>g</m:t>
                  </m:r>
                </m:e>
                <m:sub>
                  <m:r>
                    <m:t>t</m:t>
                  </m:r>
                  <m:r>
                    <m:rPr>
                      <m:sty m:val="p"/>
                    </m:rPr>
                    <m:t>,</m:t>
                  </m:r>
                  <m:r>
                    <m:t>j</m:t>
                  </m:r>
                </m:sub>
              </m:sSub>
              <m:r>
                <m:rPr>
                  <m:sty m:val="p"/>
                </m:rPr>
                <m:t>=</m:t>
              </m:r>
              <m:d>
                <m:dPr>
                  <m:begChr m:val="["/>
                  <m:endChr m:val="]"/>
                  <m:sepChr m:val=""/>
                  <m:grow/>
                </m:dPr>
                <m:e>
                  <m:sSub>
                    <m:e>
                      <m:r>
                        <m:t>z</m:t>
                      </m:r>
                    </m:e>
                    <m:sub>
                      <m:r>
                        <m:t>t</m:t>
                      </m:r>
                      <m:r>
                        <m:rPr>
                          <m:sty m:val="p"/>
                        </m:rPr>
                        <m:t>,</m:t>
                      </m:r>
                      <m:r>
                        <m:t>j</m:t>
                      </m:r>
                    </m:sub>
                  </m:sSub>
                  <m:r>
                    <m:rPr>
                      <m:sty m:val="p"/>
                    </m:rPr>
                    <m:t>;</m:t>
                  </m:r>
                  <m:sSub>
                    <m:e>
                      <m:acc>
                        <m:accPr>
                          <m:chr m:val="‾"/>
                        </m:accPr>
                        <m:e>
                          <m:r>
                            <m:t>u</m:t>
                          </m:r>
                        </m:e>
                      </m:acc>
                    </m:e>
                    <m:sub>
                      <m:r>
                        <m:t>t</m:t>
                      </m:r>
                      <m:r>
                        <m:rPr>
                          <m:sty m:val="p"/>
                        </m:rPr>
                        <m:t>,</m:t>
                      </m:r>
                      <m:r>
                        <m:t>j</m:t>
                      </m:r>
                    </m:sub>
                  </m:sSub>
                  <m:r>
                    <m:rPr>
                      <m:sty m:val="p"/>
                    </m:rPr>
                    <m:t>;</m:t>
                  </m:r>
                  <m:sSub>
                    <m:e>
                      <m:acc>
                        <m:accPr>
                          <m:chr m:val="‾"/>
                        </m:accPr>
                        <m:e>
                          <m:r>
                            <m:t>v</m:t>
                          </m:r>
                        </m:e>
                      </m:acc>
                    </m:e>
                    <m:sub>
                      <m:r>
                        <m:t>t</m:t>
                      </m:r>
                      <m:r>
                        <m:rPr>
                          <m:sty m:val="p"/>
                        </m:rPr>
                        <m:t>,</m:t>
                      </m:r>
                      <m:r>
                        <m:t>j</m:t>
                      </m:r>
                    </m:sub>
                  </m:sSub>
                  <m:r>
                    <m:rPr>
                      <m:sty m:val="p"/>
                    </m:rPr>
                    <m:t>;</m:t>
                  </m:r>
                  <m:sSub>
                    <m:e>
                      <m:acc>
                        <m:accPr>
                          <m:chr m:val="‾"/>
                        </m:accPr>
                        <m:e>
                          <m:r>
                            <m:t>d</m:t>
                          </m:r>
                        </m:e>
                      </m:acc>
                    </m:e>
                    <m:sub>
                      <m:r>
                        <m:t>t</m:t>
                      </m:r>
                      <m:r>
                        <m:rPr>
                          <m:sty m:val="p"/>
                        </m:rPr>
                        <m:t>,</m:t>
                      </m:r>
                      <m:r>
                        <m:t>j</m:t>
                      </m:r>
                    </m:sub>
                  </m:sSub>
                  <m:r>
                    <m:rPr>
                      <m:sty m:val="p"/>
                    </m:rPr>
                    <m:t>;</m:t>
                  </m:r>
                  <m:sSub>
                    <m:e>
                      <m:r>
                        <m:t>ρ</m:t>
                      </m:r>
                    </m:e>
                    <m:sub>
                      <m:r>
                        <m:t>t</m:t>
                      </m:r>
                      <m:r>
                        <m:rPr>
                          <m:sty m:val="p"/>
                        </m:rPr>
                        <m:t>,</m:t>
                      </m:r>
                      <m:r>
                        <m:t>j</m:t>
                      </m:r>
                    </m:sub>
                  </m:sSub>
                </m:e>
              </m:d>
              <m:r>
                <m:rPr>
                  <m:sty m:val="p"/>
                </m:rPr>
                <m:t>.</m:t>
              </m:r>
            </m:e>
          </m:borderBox>
        </m:oMath>
      </m:oMathPara>
    </w:p>
    <w:p>
      <w:pPr>
        <w:pStyle w:val="FirstParagraph"/>
      </w:pPr>
      <w:r>
        <w:t xml:space="preserve">若视觉特征通道数为</w:t>
      </w:r>
      <w:r>
        <w:t xml:space="preserve"> </w:t>
      </w:r>
      <m:oMath>
        <m:r>
          <m:t>C</m:t>
        </m:r>
      </m:oMath>
      <w:r>
        <w:t xml:space="preserve">，联合 Token 的维度为</w:t>
      </w:r>
      <w:r>
        <w:t xml:space="preserve"> </w:t>
      </w:r>
      <m:oMath>
        <m:r>
          <m:t>C</m:t>
        </m:r>
        <m:r>
          <m:rPr>
            <m:sty m:val="p"/>
          </m:rPr>
          <m:t>+</m:t>
        </m:r>
        <m:r>
          <m:t>4</m:t>
        </m:r>
      </m:oMath>
      <w:r>
        <w:t xml:space="preserve">。例如</w:t>
      </w:r>
      <w:r>
        <w:t xml:space="preserve"> </w:t>
      </w:r>
      <m:oMath>
        <m:r>
          <m:t>C</m:t>
        </m:r>
        <m:r>
          <m:rPr>
            <m:sty m:val="p"/>
          </m:rPr>
          <m:t>=</m:t>
        </m:r>
        <m:r>
          <m:t>128</m:t>
        </m:r>
        <m:r>
          <m:rPr>
            <m:sty m:val="p"/>
          </m:rPr>
          <m:t>,</m:t>
        </m:r>
        <m:r>
          <m:t>K</m:t>
        </m:r>
        <m:r>
          <m:rPr>
            <m:sty m:val="p"/>
          </m:rPr>
          <m:t>=</m:t>
        </m:r>
        <m:r>
          <m:t>8</m:t>
        </m:r>
      </m:oMath>
      <w:r>
        <w:t xml:space="preserve"> </w:t>
      </w:r>
      <w:r>
        <w:t xml:space="preserve">时，联合 Token 形状为</w:t>
      </w:r>
      <w:r>
        <w:t xml:space="preserve"> </w:t>
      </w:r>
      <m:oMath>
        <m:r>
          <m:t>8</m:t>
        </m:r>
        <m:r>
          <m:rPr>
            <m:sty m:val="p"/>
          </m:rPr>
          <m:t>×</m:t>
        </m:r>
        <m:r>
          <m:t>132</m:t>
        </m:r>
      </m:oMath>
      <w:r>
        <w:t xml:space="preserve">，这一数值为初步架构示例，并非已运行的实验结果。</w:t>
      </w:r>
    </w:p>
    <w:p>
      <w:pPr>
        <w:pStyle w:val="BodyText"/>
      </w:pPr>
      <w:r>
        <w:t xml:space="preserve">这里的</w:t>
      </w:r>
      <w:r>
        <w:t xml:space="preserve"> </w:t>
      </w:r>
      <m:oMath>
        <m:d>
          <m:dPr>
            <m:begChr m:val="("/>
            <m:endChr m:val=")"/>
            <m:sepChr m:val=""/>
            <m:grow/>
          </m:dPr>
          <m:e>
            <m:acc>
              <m:accPr>
                <m:chr m:val="‾"/>
              </m:accPr>
              <m:e>
                <m:r>
                  <m:t>u</m:t>
                </m:r>
              </m:e>
            </m:acc>
            <m:r>
              <m:rPr>
                <m:sty m:val="p"/>
              </m:rPr>
              <m:t>,</m:t>
            </m:r>
            <m:acc>
              <m:accPr>
                <m:chr m:val="‾"/>
              </m:accPr>
              <m:e>
                <m:r>
                  <m:t>v</m:t>
                </m:r>
              </m:e>
            </m:acc>
            <m:r>
              <m:rPr>
                <m:sty m:val="p"/>
              </m:rPr>
              <m:t>,</m:t>
            </m:r>
            <m:acc>
              <m:accPr>
                <m:chr m:val="‾"/>
              </m:accPr>
              <m:e>
                <m:r>
                  <m:t>d</m:t>
                </m:r>
              </m:e>
            </m:acc>
          </m:e>
        </m:d>
      </m:oMath>
      <w:r>
        <w:t xml:space="preserve"> </w:t>
      </w:r>
      <w:r>
        <w:t xml:space="preserve">是</w:t>
      </w:r>
      <w:r>
        <w:rPr>
          <w:b/>
          <w:bCs/>
        </w:rPr>
        <w:t xml:space="preserve">二维图像位置加深度的 2.5D 描述</w:t>
      </w:r>
      <w:r>
        <w:t xml:space="preserve">，不能在未经相机内参与外参标定、三维反投影的情况下直接称为机器人基坐标系中的三维位置。若未来进一步研究明确的三维末端相对位置，需先完成坐标反投影和坐标系统一，本章首版不将其作为必需结构。</w:t>
      </w:r>
    </w:p>
    <w:p>
      <w:pPr>
        <w:pStyle w:val="CaptionedFigure"/>
      </w:pPr>
      <w:r>
        <w:drawing>
          <wp:inline>
            <wp:extent cx="5334000" cy="2026920"/>
            <wp:effectExtent b="0" l="0" r="0" t="0"/>
            <wp:docPr descr="图3-4 深度关联Token构造占位图" title="" id="42" name="Picture"/>
            <a:graphic>
              <a:graphicData uri="http://schemas.openxmlformats.org/drawingml/2006/picture">
                <pic:pic>
                  <pic:nvPicPr>
                    <pic:cNvPr descr="figures/fig3_4_token.png" id="43" name="Picture"/>
                    <pic:cNvPicPr>
                      <a:picLocks noChangeArrowheads="1" noChangeAspect="1"/>
                    </pic:cNvPicPr>
                  </pic:nvPicPr>
                  <pic:blipFill>
                    <a:blip r:embed="rId41"/>
                    <a:stretch>
                      <a:fillRect/>
                    </a:stretch>
                  </pic:blipFill>
                  <pic:spPr bwMode="auto">
                    <a:xfrm>
                      <a:off x="0" y="0"/>
                      <a:ext cx="5334000" cy="2026920"/>
                    </a:xfrm>
                    <a:prstGeom prst="rect">
                      <a:avLst/>
                    </a:prstGeom>
                    <a:noFill/>
                    <a:ln w="9525">
                      <a:noFill/>
                      <a:headEnd/>
                      <a:tailEnd/>
                    </a:ln>
                  </pic:spPr>
                </pic:pic>
              </a:graphicData>
            </a:graphic>
          </wp:inline>
        </w:drawing>
      </w:r>
    </w:p>
    <w:p>
      <w:pPr>
        <w:pStyle w:val="ImageCaption"/>
      </w:pPr>
      <w:r>
        <w:t xml:space="preserve">图3-4 深度关联Token构造占位图</w:t>
      </w:r>
    </w:p>
    <w:p>
      <w:pPr>
        <w:pStyle w:val="BodyText"/>
      </w:pPr>
      <w:r>
        <w:rPr>
          <w:b/>
          <w:bCs/>
        </w:rPr>
        <w:t xml:space="preserve">图3-4 视觉 Token 与空间加权位置、深度及有效性关联示意占位图</w:t>
      </w:r>
    </w:p>
    <w:bookmarkEnd w:id="44"/>
    <w:bookmarkStart w:id="45" w:name="设计动机相对几何关系与局部绝对深度的区分"/>
    <w:p>
      <w:pPr>
        <w:pStyle w:val="Heading3"/>
      </w:pPr>
      <w:r>
        <w:t xml:space="preserve">3.4.4 设计动机：相对几何关系与局部绝对深度的区分</w:t>
      </w:r>
    </w:p>
    <w:p>
      <w:pPr>
        <w:pStyle w:val="FirstParagraph"/>
      </w:pPr>
      <w:r>
        <w:t xml:space="preserve">GSA 中依赖</w:t>
      </w:r>
      <w:r>
        <w:t xml:space="preserve"> </w:t>
      </w:r>
      <m:oMath>
        <m:d>
          <m:dPr>
            <m:begChr m:val="|"/>
            <m:endChr m:val="|"/>
            <m:sepChr m:val=""/>
            <m:grow/>
          </m:dPr>
          <m:e>
            <m:sSub>
              <m:e>
                <m:r>
                  <m:t>d</m:t>
                </m:r>
              </m:e>
              <m:sub>
                <m:r>
                  <m:t>i</m:t>
                </m:r>
              </m:sub>
            </m:sSub>
            <m:r>
              <m:rPr>
                <m:sty m:val="p"/>
              </m:rPr>
              <m:t>−</m:t>
            </m:r>
            <m:sSub>
              <m:e>
                <m:r>
                  <m:t>d</m:t>
                </m:r>
              </m:e>
              <m:sub>
                <m:r>
                  <m:t>j</m:t>
                </m:r>
              </m:sub>
            </m:sSub>
          </m:e>
        </m:d>
      </m:oMath>
      <w:r>
        <w:t xml:space="preserve"> </w:t>
      </w:r>
      <w:r>
        <w:t xml:space="preserve">的深度差先验有利于调节像素间几何关系，而式（3-17）的</w:t>
      </w:r>
      <w:r>
        <w:t xml:space="preserve"> </w:t>
      </w:r>
      <m:oMath>
        <m:sSub>
          <m:e>
            <m:acc>
              <m:accPr>
                <m:chr m:val="‾"/>
              </m:accPr>
              <m:e>
                <m:r>
                  <m:t>d</m:t>
                </m:r>
              </m:e>
            </m:acc>
          </m:e>
          <m:sub>
            <m:r>
              <m:t>t</m:t>
            </m:r>
            <m:r>
              <m:rPr>
                <m:sty m:val="p"/>
              </m:rPr>
              <m:t>,</m:t>
            </m:r>
            <m:r>
              <m:t>j</m:t>
            </m:r>
          </m:sub>
        </m:sSub>
      </m:oMath>
      <w:r>
        <w:t xml:space="preserve"> </w:t>
      </w:r>
      <w:r>
        <w:t xml:space="preserve">进一步给出了被 Token 权重关注区域的测量深度。两类信息不同：前者与位置之间的相对距离变化有关，后者保留局部深度尺度。对于深度整体偏移</w:t>
      </w:r>
      <w:r>
        <w:t xml:space="preserve"> </w:t>
      </w:r>
      <m:oMath>
        <m:r>
          <m:t>D</m:t>
        </m:r>
        <m:r>
          <m:rPr>
            <m:sty m:val="p"/>
          </m:rPr>
          <m:t>′</m:t>
        </m:r>
        <m:r>
          <m:rPr>
            <m:sty m:val="p"/>
          </m:rPr>
          <m:t>=</m:t>
        </m:r>
        <m:r>
          <m:t>D</m:t>
        </m:r>
        <m:r>
          <m:rPr>
            <m:sty m:val="p"/>
          </m:rPr>
          <m:t>+</m:t>
        </m:r>
        <m:r>
          <m:t>δ</m:t>
        </m:r>
      </m:oMath>
      <w:r>
        <w:t xml:space="preserve">，理想有效掩码不变时，深度差项保持不变，而式（3-17）的加权深度会相应变化约</w:t>
      </w:r>
      <w:r>
        <w:t xml:space="preserve"> </w:t>
      </w:r>
      <m:oMath>
        <m:r>
          <m:t>δ</m:t>
        </m:r>
      </m:oMath>
      <w:r>
        <w:t xml:space="preserve">。因此，在 GSA 后端显式加入加权深度，能够向扩散条件提供几何先验中未直接编码的测量数值。</w:t>
      </w:r>
    </w:p>
    <w:p>
      <w:pPr>
        <w:pStyle w:val="BodyText"/>
      </w:pPr>
      <w:r>
        <w:t xml:space="preserve">需要避免过度解释：局部加权深度并不等价于夹爪到目标的欧氏距离，亦不是经检测器估计的物体三维位姿。该数值是否真的能够改善控制，需通过“GSA+普通 TokenLearner”和“GSA+深度关联 TokenLearner”的严格对照验证。原始 CNN-DP 中可能已经通过 SpatialSoftmax 聚合二维位置信息，故本章应把“深度关联及与 Token 权重统一”作为改动重点，而非宣称首次引入空间坐标。</w:t>
      </w:r>
    </w:p>
    <w:bookmarkEnd w:id="45"/>
    <w:bookmarkStart w:id="46" w:name="几何条件映射与残差融合"/>
    <w:p>
      <w:pPr>
        <w:pStyle w:val="Heading3"/>
      </w:pPr>
      <w:r>
        <w:t xml:space="preserve">3.4.5 几何条件映射与残差融合</w:t>
      </w:r>
    </w:p>
    <w:p>
      <w:pPr>
        <w:pStyle w:val="FirstParagraph"/>
      </w:pPr>
      <w:r>
        <w:t xml:space="preserve">为保持 CNN-DP 原有条件维度不变，将</w:t>
      </w:r>
      <w:r>
        <w:t xml:space="preserve"> </w:t>
      </w:r>
      <m:oMath>
        <m:r>
          <m:t>K</m:t>
        </m:r>
      </m:oMath>
      <w:r>
        <w:t xml:space="preserve"> </w:t>
      </w:r>
      <w:r>
        <w:t xml:space="preserve">个联合 Token 按顺序展平并输入一个小型投影网络：</w:t>
      </w:r>
    </w:p>
    <w:p>
      <w:pPr>
        <w:pStyle w:val="BodyText"/>
      </w:pPr>
      <m:oMathPara>
        <m:oMathParaPr>
          <m:jc m:val="center"/>
        </m:oMathParaPr>
        <m:oMath>
          <m:sSubSup>
            <m:e>
              <m:r>
                <m:t>c</m:t>
              </m:r>
            </m:e>
            <m:sub>
              <m:r>
                <m:t>t</m:t>
              </m:r>
            </m:sub>
            <m:sup>
              <m:r>
                <m:t>g</m:t>
              </m:r>
            </m:sup>
          </m:sSubSup>
          <m:r>
            <m:rPr>
              <m:sty m:val="p"/>
            </m:rPr>
            <m:t>=</m:t>
          </m:r>
          <m:sSub>
            <m:e>
              <m:r>
                <m:rPr>
                  <m:sty m:val="p"/>
                  <m:scr m:val="script"/>
                </m:rPr>
                <m:t>P</m:t>
              </m:r>
            </m:e>
            <m:sub>
              <m:r>
                <m:t>g</m:t>
              </m:r>
            </m:sub>
          </m:sSub>
          <m:r>
            <m:t>​</m:t>
          </m:r>
          <m:d>
            <m:dPr>
              <m:begChr m:val="("/>
              <m:endChr m:val=")"/>
              <m:sepChr m:val=""/>
              <m:grow/>
            </m:dPr>
            <m:e>
              <m:r>
                <m:rPr>
                  <m:sty m:val="p"/>
                </m:rPr>
                <m:t>Flatten</m:t>
              </m:r>
              <m:d>
                <m:dPr>
                  <m:begChr m:val="("/>
                  <m:endChr m:val=")"/>
                  <m:sepChr m:val=""/>
                  <m:grow/>
                </m:dPr>
                <m:e>
                  <m:d>
                    <m:dPr>
                      <m:begChr m:val="["/>
                      <m:endChr m:val="]"/>
                      <m:sepChr m:val=""/>
                      <m:grow/>
                    </m:dPr>
                    <m:e>
                      <m:sSub>
                        <m:e>
                          <m:r>
                            <m:t>g</m:t>
                          </m:r>
                        </m:e>
                        <m:sub>
                          <m:r>
                            <m:t>t</m:t>
                          </m:r>
                          <m:r>
                            <m:rPr>
                              <m:sty m:val="p"/>
                            </m:rPr>
                            <m:t>,</m:t>
                          </m:r>
                          <m:r>
                            <m:t>1</m:t>
                          </m:r>
                        </m:sub>
                      </m:sSub>
                      <m:r>
                        <m:rPr>
                          <m:sty m:val="p"/>
                        </m:rPr>
                        <m:t>,</m:t>
                      </m:r>
                      <m:r>
                        <m:rPr>
                          <m:sty m:val="p"/>
                        </m:rPr>
                        <m:t>…</m:t>
                      </m:r>
                      <m:r>
                        <m:rPr>
                          <m:sty m:val="p"/>
                        </m:rPr>
                        <m:t>,</m:t>
                      </m:r>
                      <m:sSub>
                        <m:e>
                          <m:r>
                            <m:t>g</m:t>
                          </m:r>
                        </m:e>
                        <m:sub>
                          <m:r>
                            <m:t>t</m:t>
                          </m:r>
                          <m:r>
                            <m:rPr>
                              <m:sty m:val="p"/>
                            </m:rPr>
                            <m:t>,</m:t>
                          </m:r>
                          <m:r>
                            <m:t>K</m:t>
                          </m:r>
                        </m:sub>
                      </m:sSub>
                    </m:e>
                  </m:d>
                </m:e>
              </m:d>
            </m:e>
          </m:d>
          <m:r>
            <m:rPr>
              <m:sty m:val="p"/>
            </m:rPr>
            <m:t>.</m:t>
          </m:r>
        </m:oMath>
      </m:oMathPara>
    </w:p>
    <w:p>
      <w:pPr>
        <w:pStyle w:val="FirstParagraph"/>
      </w:pPr>
      <w:r>
        <w:t xml:space="preserve">其中</w:t>
      </w:r>
      <w:r>
        <w:t xml:space="preserve"> </w:t>
      </w:r>
      <m:oMath>
        <m:sSubSup>
          <m:e>
            <m:r>
              <m:t>c</m:t>
            </m:r>
          </m:e>
          <m:sub>
            <m:r>
              <m:t>t</m:t>
            </m:r>
          </m:sub>
          <m:sup>
            <m:r>
              <m:t>g</m:t>
            </m:r>
          </m:sup>
        </m:sSubSup>
        <m:r>
          <m:rPr>
            <m:sty m:val="p"/>
          </m:rPr>
          <m:t>∈</m:t>
        </m:r>
        <m:sSup>
          <m:e>
            <m:r>
              <m:rPr>
                <m:sty m:val="p"/>
                <m:scr m:val="double-struck"/>
              </m:rPr>
              <m:t>R</m:t>
            </m:r>
          </m:e>
          <m:sup>
            <m:sSub>
              <m:e>
                <m:r>
                  <m:t>D</m:t>
                </m:r>
              </m:e>
              <m:sub>
                <m:r>
                  <m:t>v</m:t>
                </m:r>
              </m:sub>
            </m:sSub>
          </m:sup>
        </m:sSup>
      </m:oMath>
      <w:r>
        <w:t xml:space="preserve">，</w:t>
      </w:r>
      <m:oMath>
        <m:sSub>
          <m:e>
            <m:r>
              <m:t>D</m:t>
            </m:r>
          </m:e>
          <m:sub>
            <m:r>
              <m:t>v</m:t>
            </m:r>
          </m:sub>
        </m:sSub>
      </m:oMath>
      <w:r>
        <w:t xml:space="preserve"> </w:t>
      </w:r>
      <w:r>
        <w:t xml:space="preserve">与原始视觉向量维度一致。原始视觉路径得到</w:t>
      </w:r>
    </w:p>
    <w:p>
      <w:pPr>
        <w:pStyle w:val="BodyText"/>
      </w:pPr>
      <m:oMathPara>
        <m:oMathParaPr>
          <m:jc m:val="center"/>
        </m:oMathParaPr>
        <m:oMath>
          <m:sSubSup>
            <m:e>
              <m:r>
                <m:t>c</m:t>
              </m:r>
            </m:e>
            <m:sub>
              <m:r>
                <m:t>t</m:t>
              </m:r>
            </m:sub>
            <m:sup>
              <m:r>
                <m:t>v</m:t>
              </m:r>
            </m:sup>
          </m:sSubSup>
          <m:r>
            <m:rPr>
              <m:sty m:val="p"/>
            </m:rPr>
            <m:t>=</m:t>
          </m:r>
          <m:sSub>
            <m:e>
              <m:r>
                <m:rPr>
                  <m:sty m:val="p"/>
                  <m:scr m:val="script"/>
                </m:rPr>
                <m:t>P</m:t>
              </m:r>
            </m:e>
            <m:sub>
              <m:r>
                <m:t>v</m:t>
              </m:r>
            </m:sub>
          </m:sSub>
          <m:d>
            <m:dPr>
              <m:begChr m:val="("/>
              <m:endChr m:val=")"/>
              <m:sepChr m:val=""/>
              <m:grow/>
            </m:dPr>
            <m:e>
              <m:sSub>
                <m:e>
                  <m:r>
                    <m:t>E</m:t>
                  </m:r>
                </m:e>
                <m:sub>
                  <m:r>
                    <m:rPr>
                      <m:sty m:val="p"/>
                    </m:rPr>
                    <m:t>p</m:t>
                  </m:r>
                  <m:r>
                    <m:rPr>
                      <m:sty m:val="p"/>
                    </m:rPr>
                    <m:t>o</m:t>
                  </m:r>
                  <m:r>
                    <m:rPr>
                      <m:sty m:val="p"/>
                    </m:rPr>
                    <m:t>s</m:t>
                  </m:r>
                  <m:r>
                    <m:rPr>
                      <m:sty m:val="p"/>
                    </m:rPr>
                    <m:t>t</m:t>
                  </m:r>
                </m:sub>
              </m:sSub>
              <m:d>
                <m:dPr>
                  <m:begChr m:val="("/>
                  <m:endChr m:val=")"/>
                  <m:sepChr m:val=""/>
                  <m:grow/>
                </m:dPr>
                <m:e>
                  <m:sSubSup>
                    <m:e>
                      <m:r>
                        <m:t>F</m:t>
                      </m:r>
                    </m:e>
                    <m:sub>
                      <m:r>
                        <m:t>t</m:t>
                      </m:r>
                    </m:sub>
                    <m:sup>
                      <m:r>
                        <m:t>g</m:t>
                      </m:r>
                    </m:sup>
                  </m:sSubSup>
                </m:e>
              </m:d>
            </m:e>
          </m:d>
          <m:r>
            <m:rPr>
              <m:sty m:val="p"/>
            </m:rPr>
            <m:t>.</m:t>
          </m:r>
        </m:oMath>
      </m:oMathPara>
    </w:p>
    <w:p>
      <w:pPr>
        <w:pStyle w:val="FirstParagraph"/>
      </w:pPr>
      <w:r>
        <w:t xml:space="preserve">最终采用简单残差条件融合：</w:t>
      </w:r>
    </w:p>
    <w:p>
      <w:pPr>
        <w:pStyle w:val="BodyText"/>
      </w:pPr>
      <m:oMathPara>
        <m:oMathParaPr>
          <m:jc m:val="center"/>
        </m:oMathParaPr>
        <m:oMath>
          <m:borderBox>
            <m:e>
              <m:sSubSup>
                <m:e>
                  <m:r>
                    <m:t>c</m:t>
                  </m:r>
                </m:e>
                <m:sub>
                  <m:r>
                    <m:t>t</m:t>
                  </m:r>
                </m:sub>
                <m:sup>
                  <m:r>
                    <m:rPr>
                      <m:sty m:val="p"/>
                    </m:rPr>
                    <m:t>n</m:t>
                  </m:r>
                  <m:r>
                    <m:rPr>
                      <m:sty m:val="p"/>
                    </m:rPr>
                    <m:t>e</m:t>
                  </m:r>
                  <m:r>
                    <m:rPr>
                      <m:sty m:val="p"/>
                    </m:rPr>
                    <m:t>w</m:t>
                  </m:r>
                </m:sup>
              </m:sSubSup>
              <m:r>
                <m:rPr>
                  <m:sty m:val="p"/>
                </m:rPr>
                <m:t>=</m:t>
              </m:r>
              <m:sSubSup>
                <m:e>
                  <m:r>
                    <m:t>c</m:t>
                  </m:r>
                </m:e>
                <m:sub>
                  <m:r>
                    <m:t>t</m:t>
                  </m:r>
                </m:sub>
                <m:sup>
                  <m:r>
                    <m:t>v</m:t>
                  </m:r>
                </m:sup>
              </m:sSubSup>
              <m:r>
                <m:rPr>
                  <m:sty m:val="p"/>
                </m:rPr>
                <m:t>+</m:t>
              </m:r>
              <m:sSubSup>
                <m:e>
                  <m:r>
                    <m:t>c</m:t>
                  </m:r>
                </m:e>
                <m:sub>
                  <m:r>
                    <m:t>t</m:t>
                  </m:r>
                </m:sub>
                <m:sup>
                  <m:r>
                    <m:t>g</m:t>
                  </m:r>
                </m:sup>
              </m:sSubSup>
              <m:r>
                <m:rPr>
                  <m:sty m:val="p"/>
                </m:rPr>
                <m:t>.</m:t>
              </m:r>
            </m:e>
          </m:borderBox>
        </m:oMath>
      </m:oMathPara>
    </w:p>
    <w:p>
      <w:pPr>
        <w:pStyle w:val="FirstParagraph"/>
      </w:pPr>
      <w:r>
        <w:t xml:space="preserve">若投影网络使用最后一层零初始化，训练开始时</w:t>
      </w:r>
      <w:r>
        <w:t xml:space="preserve"> </w:t>
      </w:r>
      <m:oMath>
        <m:sSubSup>
          <m:e>
            <m:r>
              <m:t>c</m:t>
            </m:r>
          </m:e>
          <m:sub>
            <m:r>
              <m:t>t</m:t>
            </m:r>
          </m:sub>
          <m:sup>
            <m:r>
              <m:t>g</m:t>
            </m:r>
          </m:sup>
        </m:sSubSup>
        <m:r>
          <m:rPr>
            <m:sty m:val="p"/>
          </m:rPr>
          <m:t>=</m:t>
        </m:r>
        <m:r>
          <m:t>0</m:t>
        </m:r>
      </m:oMath>
      <w:r>
        <w:t xml:space="preserve">，模型初始输出与基础视觉条件路径保持接近；此时最后线性层仍可更新，但其之前的几何分支参数可能需要经过初始更新才能收到有效梯度。因此，应结合训练日志检查几何分支是否被真正学习，并与小随机初始化进行对照。为控制模块数量，本章首版不引入额外 Token 之间的自注意力、机器人状态引导的 Token 打分网络或 U-Net 内部 Cross-Attention。</w:t>
      </w:r>
    </w:p>
    <w:bookmarkEnd w:id="46"/>
    <w:bookmarkEnd w:id="47"/>
    <w:bookmarkStart w:id="56" w:name="gsc-dp-的训练与推理"/>
    <w:p>
      <w:pPr>
        <w:pStyle w:val="Heading2"/>
      </w:pPr>
      <w:r>
        <w:t xml:space="preserve">3.5 GSC-DP 的训练与推理</w:t>
      </w:r>
    </w:p>
    <w:bookmarkStart w:id="48" w:name="观测编码与扩散条件构造"/>
    <w:p>
      <w:pPr>
        <w:pStyle w:val="Heading3"/>
      </w:pPr>
      <w:r>
        <w:t xml:space="preserve">3.5.1 观测编码与扩散条件构造</w:t>
      </w:r>
    </w:p>
    <w:p>
      <w:pPr>
        <w:pStyle w:val="FirstParagraph"/>
      </w:pPr>
      <w:r>
        <w:t xml:space="preserve">对每个观测时刻</w:t>
      </w:r>
      <w:r>
        <w:t xml:space="preserve"> </w:t>
      </w:r>
      <m:oMath>
        <m:r>
          <m:t>t</m:t>
        </m:r>
      </m:oMath>
      <w:r>
        <w:t xml:space="preserve">，视觉编码器输出</w:t>
      </w:r>
      <w:r>
        <w:t xml:space="preserve"> </w:t>
      </w:r>
      <m:oMath>
        <m:sSubSup>
          <m:e>
            <m:r>
              <m:t>c</m:t>
            </m:r>
          </m:e>
          <m:sub>
            <m:r>
              <m:t>t</m:t>
            </m:r>
          </m:sub>
          <m:sup>
            <m:r>
              <m:rPr>
                <m:sty m:val="p"/>
              </m:rPr>
              <m:t>n</m:t>
            </m:r>
            <m:r>
              <m:rPr>
                <m:sty m:val="p"/>
              </m:rPr>
              <m:t>e</m:t>
            </m:r>
            <m:r>
              <m:rPr>
                <m:sty m:val="p"/>
              </m:rPr>
              <m:t>w</m:t>
            </m:r>
          </m:sup>
        </m:sSubSup>
      </m:oMath>
      <w:r>
        <w:t xml:space="preserve">，与机器人本体状态组合得到</w:t>
      </w:r>
    </w:p>
    <w:p>
      <w:pPr>
        <w:pStyle w:val="BodyText"/>
      </w:pPr>
      <m:oMathPara>
        <m:oMathParaPr>
          <m:jc m:val="center"/>
        </m:oMathParaPr>
        <m:oMath>
          <m:sSub>
            <m:e>
              <m:r>
                <m:t>h</m:t>
              </m:r>
            </m:e>
            <m:sub>
              <m:r>
                <m:t>t</m:t>
              </m:r>
            </m:sub>
          </m:sSub>
          <m:r>
            <m:rPr>
              <m:sty m:val="p"/>
            </m:rPr>
            <m:t>=</m:t>
          </m:r>
          <m:d>
            <m:dPr>
              <m:begChr m:val="["/>
              <m:endChr m:val="]"/>
              <m:sepChr m:val=""/>
              <m:grow/>
            </m:dPr>
            <m:e>
              <m:sSubSup>
                <m:e>
                  <m:r>
                    <m:t>c</m:t>
                  </m:r>
                </m:e>
                <m:sub>
                  <m:r>
                    <m:t>t</m:t>
                  </m:r>
                </m:sub>
                <m:sup>
                  <m:r>
                    <m:rPr>
                      <m:sty m:val="p"/>
                    </m:rPr>
                    <m:t>n</m:t>
                  </m:r>
                  <m:r>
                    <m:rPr>
                      <m:sty m:val="p"/>
                    </m:rPr>
                    <m:t>e</m:t>
                  </m:r>
                  <m:r>
                    <m:rPr>
                      <m:sty m:val="p"/>
                    </m:rPr>
                    <m:t>w</m:t>
                  </m:r>
                </m:sup>
              </m:sSubSup>
              <m:r>
                <m:rPr>
                  <m:sty m:val="p"/>
                </m:rPr>
                <m:t>;</m:t>
              </m:r>
              <m:sSub>
                <m:e>
                  <m:r>
                    <m:t>q</m:t>
                  </m:r>
                </m:e>
                <m:sub>
                  <m:r>
                    <m:t>t</m:t>
                  </m:r>
                </m:sub>
              </m:sSub>
            </m:e>
          </m:d>
          <m:r>
            <m:rPr>
              <m:sty m:val="p"/>
            </m:rPr>
            <m:t>.</m:t>
          </m:r>
        </m:oMath>
      </m:oMathPara>
    </w:p>
    <w:p>
      <w:pPr>
        <w:pStyle w:val="FirstParagraph"/>
      </w:pPr>
      <w:r>
        <w:t xml:space="preserve">将长度为</w:t>
      </w:r>
      <w:r>
        <w:t xml:space="preserve"> </w:t>
      </w:r>
      <m:oMath>
        <m:sSub>
          <m:e>
            <m:r>
              <m:t>T</m:t>
            </m:r>
          </m:e>
          <m:sub>
            <m:r>
              <m:t>o</m:t>
            </m:r>
          </m:sub>
        </m:sSub>
      </m:oMath>
      <w:r>
        <w:t xml:space="preserve"> </w:t>
      </w:r>
      <w:r>
        <w:t xml:space="preserve">的历史观测向量按时间顺序拼接，形成全局条件：</w:t>
      </w:r>
    </w:p>
    <w:p>
      <w:pPr>
        <w:pStyle w:val="BodyText"/>
      </w:pPr>
      <m:oMathPara>
        <m:oMathParaPr>
          <m:jc m:val="center"/>
        </m:oMathParaPr>
        <m:oMath>
          <m:sSub>
            <m:e>
              <m:r>
                <m:t>C</m:t>
              </m:r>
            </m:e>
            <m:sub>
              <m:r>
                <m:t>t</m:t>
              </m:r>
            </m:sub>
          </m:sSub>
          <m:r>
            <m:rPr>
              <m:sty m:val="p"/>
            </m:rPr>
            <m:t>=</m:t>
          </m:r>
          <m:r>
            <m:rPr>
              <m:sty m:val="p"/>
            </m:rPr>
            <m:t>Concat</m:t>
          </m:r>
          <m:d>
            <m:dPr>
              <m:begChr m:val="("/>
              <m:endChr m:val=")"/>
              <m:sepChr m:val=""/>
              <m:grow/>
            </m:dPr>
            <m:e>
              <m:sSub>
                <m:e>
                  <m:r>
                    <m:t>h</m:t>
                  </m:r>
                </m:e>
                <m:sub>
                  <m:r>
                    <m:t>t</m:t>
                  </m:r>
                  <m:r>
                    <m:rPr>
                      <m:sty m:val="p"/>
                    </m:rPr>
                    <m:t>−</m:t>
                  </m:r>
                  <m:sSub>
                    <m:e>
                      <m:r>
                        <m:t>T</m:t>
                      </m:r>
                    </m:e>
                    <m:sub>
                      <m:r>
                        <m:t>o</m:t>
                      </m:r>
                    </m:sub>
                  </m:sSub>
                  <m:r>
                    <m:rPr>
                      <m:sty m:val="p"/>
                    </m:rPr>
                    <m:t>+</m:t>
                  </m:r>
                  <m:r>
                    <m:t>1</m:t>
                  </m:r>
                </m:sub>
              </m:sSub>
              <m:r>
                <m:rPr>
                  <m:sty m:val="p"/>
                </m:rPr>
                <m:t>,</m:t>
              </m:r>
              <m:r>
                <m:rPr>
                  <m:sty m:val="p"/>
                </m:rPr>
                <m:t>…</m:t>
              </m:r>
              <m:r>
                <m:rPr>
                  <m:sty m:val="p"/>
                </m:rPr>
                <m:t>,</m:t>
              </m:r>
              <m:sSub>
                <m:e>
                  <m:r>
                    <m:t>h</m:t>
                  </m:r>
                </m:e>
                <m:sub>
                  <m:r>
                    <m:t>t</m:t>
                  </m:r>
                </m:sub>
              </m:sSub>
            </m:e>
          </m:d>
          <m:r>
            <m:rPr>
              <m:sty m:val="p"/>
            </m:rPr>
            <m:t>.</m:t>
          </m:r>
        </m:oMath>
      </m:oMathPara>
    </w:p>
    <w:p>
      <w:pPr>
        <w:pStyle w:val="FirstParagraph"/>
      </w:pPr>
      <w:r>
        <w:t xml:space="preserve">若原始策略直接使用归一化的低维状态和视觉编码向量，则保持相同的数据规范；若配置的</w:t>
      </w:r>
      <w:r>
        <w:t xml:space="preserve"> </w:t>
      </w:r>
      <w:r>
        <w:rPr>
          <w:rStyle w:val="VerbatimChar"/>
        </w:rPr>
        <w:t xml:space="preserve">obs_as_global_cond</w:t>
      </w:r>
      <w:r>
        <w:t xml:space="preserve"> </w:t>
      </w:r>
      <w:r>
        <w:t xml:space="preserve">为真，则将</w:t>
      </w:r>
      <w:r>
        <w:t xml:space="preserve"> </w:t>
      </w:r>
      <m:oMath>
        <m:sSub>
          <m:e>
            <m:r>
              <m:t>C</m:t>
            </m:r>
          </m:e>
          <m:sub>
            <m:r>
              <m:t>t</m:t>
            </m:r>
          </m:sub>
        </m:sSub>
      </m:oMath>
      <w:r>
        <w:t xml:space="preserve"> </w:t>
      </w:r>
      <w:r>
        <w:t xml:space="preserve">传入 Conditional 1D U-Net 的</w:t>
      </w:r>
      <w:r>
        <w:t xml:space="preserve"> </w:t>
      </w:r>
      <w:r>
        <w:rPr>
          <w:rStyle w:val="VerbatimChar"/>
        </w:rPr>
        <w:t xml:space="preserve">global_cond</w:t>
      </w:r>
      <w:r>
        <w:t xml:space="preserve">。本章不改变动作维度、扩散时间步定义、噪声调度器和动作块截取规则。</w:t>
      </w:r>
    </w:p>
    <w:bookmarkEnd w:id="48"/>
    <w:bookmarkStart w:id="49" w:name="扩散去噪训练目标"/>
    <w:p>
      <w:pPr>
        <w:pStyle w:val="Heading3"/>
      </w:pPr>
      <w:r>
        <w:t xml:space="preserve">3.5.2 扩散去噪训练目标</w:t>
      </w:r>
    </w:p>
    <w:p>
      <w:pPr>
        <w:pStyle w:val="FirstParagraph"/>
      </w:pPr>
      <w:r>
        <w:t xml:space="preserve">令专家动作块为</w:t>
      </w:r>
      <w:r>
        <w:t xml:space="preserve"> </w:t>
      </w:r>
      <m:oMath>
        <m:sSubSup>
          <m:e>
            <m:r>
              <m:t>A</m:t>
            </m:r>
          </m:e>
          <m:sub>
            <m:r>
              <m:t>t</m:t>
            </m:r>
          </m:sub>
          <m:sup>
            <m:r>
              <m:t>0</m:t>
            </m:r>
          </m:sup>
        </m:sSubSup>
      </m:oMath>
      <w:r>
        <w:t xml:space="preserve">，在离散扩散步</w:t>
      </w:r>
      <w:r>
        <w:t xml:space="preserve"> </w:t>
      </w:r>
      <m:oMath>
        <m:r>
          <m:t>k</m:t>
        </m:r>
      </m:oMath>
      <w:r>
        <w:t xml:space="preserve"> </w:t>
      </w:r>
      <w:r>
        <w:t xml:space="preserve">采样独立标准高斯噪声</w:t>
      </w:r>
      <w:r>
        <w:t xml:space="preserve"> </w:t>
      </w:r>
      <m:oMath>
        <m:r>
          <m:t>ϵ</m:t>
        </m:r>
      </m:oMath>
      <w:r>
        <w:t xml:space="preserve">，构造带噪动作：</w:t>
      </w:r>
    </w:p>
    <w:p>
      <w:pPr>
        <w:pStyle w:val="BodyText"/>
      </w:pPr>
      <m:oMathPara>
        <m:oMathParaPr>
          <m:jc m:val="center"/>
        </m:oMathParaPr>
        <m:oMath>
          <m:sSubSup>
            <m:e>
              <m:r>
                <m:t>A</m:t>
              </m:r>
            </m:e>
            <m:sub>
              <m:r>
                <m:t>t</m:t>
              </m:r>
            </m:sub>
            <m:sup>
              <m:r>
                <m:t>k</m:t>
              </m:r>
            </m:sup>
          </m:sSubSup>
          <m:r>
            <m:rPr>
              <m:sty m:val="p"/>
            </m:rPr>
            <m:t>=</m:t>
          </m:r>
          <m:rad>
            <m:radPr>
              <m:degHide m:val="on"/>
            </m:radPr>
            <m:deg/>
            <m:e>
              <m:sSub>
                <m:e>
                  <m:acc>
                    <m:accPr>
                      <m:chr m:val="‾"/>
                    </m:accPr>
                    <m:e>
                      <m:r>
                        <m:t>α</m:t>
                      </m:r>
                    </m:e>
                  </m:acc>
                </m:e>
                <m:sub>
                  <m:r>
                    <m:t>k</m:t>
                  </m:r>
                </m:sub>
              </m:sSub>
            </m:e>
          </m:rad>
          <m:sSubSup>
            <m:e>
              <m:r>
                <m:t>A</m:t>
              </m:r>
            </m:e>
            <m:sub>
              <m:r>
                <m:t>t</m:t>
              </m:r>
            </m:sub>
            <m:sup>
              <m:r>
                <m:t>0</m:t>
              </m:r>
            </m:sup>
          </m:sSubSup>
          <m:r>
            <m:rPr>
              <m:sty m:val="p"/>
            </m:rPr>
            <m:t>+</m:t>
          </m:r>
          <m:rad>
            <m:radPr>
              <m:degHide m:val="on"/>
            </m:radPr>
            <m:deg/>
            <m:e>
              <m:r>
                <m:t>1</m:t>
              </m:r>
              <m:r>
                <m:rPr>
                  <m:sty m:val="p"/>
                </m:rPr>
                <m:t>−</m:t>
              </m:r>
              <m:sSub>
                <m:e>
                  <m:acc>
                    <m:accPr>
                      <m:chr m:val="‾"/>
                    </m:accPr>
                    <m:e>
                      <m:r>
                        <m:t>α</m:t>
                      </m:r>
                    </m:e>
                  </m:acc>
                </m:e>
                <m:sub>
                  <m:r>
                    <m:t>k</m:t>
                  </m:r>
                </m:sub>
              </m:sSub>
            </m:e>
          </m:rad>
          <m:r>
            <m:t>ϵ</m:t>
          </m:r>
          <m:r>
            <m:rPr>
              <m:sty m:val="p"/>
            </m:rPr>
            <m:t>.</m:t>
          </m:r>
        </m:oMath>
      </m:oMathPara>
    </w:p>
    <w:p>
      <w:pPr>
        <w:pStyle w:val="FirstParagraph"/>
      </w:pPr>
      <w:r>
        <w:t xml:space="preserve">当采用噪声预测形式时，条件去噪网络为</w:t>
      </w:r>
    </w:p>
    <w:p>
      <w:pPr>
        <w:pStyle w:val="BodyText"/>
      </w:pPr>
      <m:oMathPara>
        <m:oMathParaPr>
          <m:jc m:val="center"/>
        </m:oMathParaPr>
        <m:oMath>
          <m:sSub>
            <m:e>
              <m:acc>
                <m:accPr>
                  <m:chr m:val="̂"/>
                </m:accPr>
                <m:e>
                  <m:r>
                    <m:t>ϵ</m:t>
                  </m:r>
                </m:e>
              </m:acc>
            </m:e>
            <m:sub>
              <m:r>
                <m:t>θ</m:t>
              </m:r>
            </m:sub>
          </m:sSub>
          <m:r>
            <m:rPr>
              <m:sty m:val="p"/>
            </m:rPr>
            <m:t>=</m:t>
          </m:r>
          <m:sSub>
            <m:e>
              <m:r>
                <m:t>ϵ</m:t>
              </m:r>
            </m:e>
            <m:sub>
              <m:r>
                <m:t>θ</m:t>
              </m:r>
            </m:sub>
          </m:sSub>
          <m:d>
            <m:dPr>
              <m:begChr m:val="("/>
              <m:endChr m:val=")"/>
              <m:sepChr m:val=""/>
              <m:grow/>
            </m:dPr>
            <m:e>
              <m:sSubSup>
                <m:e>
                  <m:r>
                    <m:t>A</m:t>
                  </m:r>
                </m:e>
                <m:sub>
                  <m:r>
                    <m:t>t</m:t>
                  </m:r>
                </m:sub>
                <m:sup>
                  <m:r>
                    <m:t>k</m:t>
                  </m:r>
                </m:sup>
              </m:sSubSup>
              <m:r>
                <m:rPr>
                  <m:sty m:val="p"/>
                </m:rPr>
                <m:t>,</m:t>
              </m:r>
              <m:r>
                <m:t>k</m:t>
              </m:r>
              <m:r>
                <m:rPr>
                  <m:sty m:val="p"/>
                </m:rPr>
                <m:t>,</m:t>
              </m:r>
              <m:sSub>
                <m:e>
                  <m:r>
                    <m:t>C</m:t>
                  </m:r>
                </m:e>
                <m:sub>
                  <m:r>
                    <m:t>t</m:t>
                  </m:r>
                </m:sub>
              </m:sSub>
            </m:e>
          </m:d>
          <m:r>
            <m:rPr>
              <m:sty m:val="p"/>
            </m:rPr>
            <m:t>,</m:t>
          </m:r>
        </m:oMath>
      </m:oMathPara>
    </w:p>
    <w:p>
      <w:pPr>
        <w:pStyle w:val="FirstParagraph"/>
      </w:pPr>
      <w:r>
        <w:t xml:space="preserve">整体训练目标为</w:t>
      </w:r>
    </w:p>
    <w:p>
      <w:pPr>
        <w:pStyle w:val="BodyText"/>
      </w:pPr>
      <m:oMathPara>
        <m:oMathParaPr>
          <m:jc m:val="center"/>
        </m:oMathParaPr>
        <m:oMath>
          <m:borderBox>
            <m:e>
              <m:sSub>
                <m:e>
                  <m:r>
                    <m:rPr>
                      <m:sty m:val="p"/>
                      <m:scr m:val="script"/>
                    </m:rPr>
                    <m:t>L</m:t>
                  </m:r>
                </m:e>
                <m:sub>
                  <m:r>
                    <m:rPr>
                      <m:sty m:val="p"/>
                    </m:rPr>
                    <m:t>G</m:t>
                  </m:r>
                  <m:r>
                    <m:rPr>
                      <m:sty m:val="p"/>
                    </m:rPr>
                    <m:t>S</m:t>
                  </m:r>
                  <m:r>
                    <m:rPr>
                      <m:sty m:val="p"/>
                    </m:rPr>
                    <m:t>C</m:t>
                  </m:r>
                </m:sub>
              </m:sSub>
              <m:r>
                <m:rPr>
                  <m:sty m:val="p"/>
                </m:rPr>
                <m:t>=</m:t>
              </m:r>
              <m:sSub>
                <m:e>
                  <m:r>
                    <m:rPr>
                      <m:sty m:val="p"/>
                      <m:scr m:val="double-struck"/>
                    </m:rPr>
                    <m:t>E</m:t>
                  </m:r>
                </m:e>
                <m:sub>
                  <m:d>
                    <m:dPr>
                      <m:begChr m:val="("/>
                      <m:endChr m:val=")"/>
                      <m:sepChr m:val=""/>
                      <m:grow/>
                    </m:dPr>
                    <m:e>
                      <m:r>
                        <m:t>O</m:t>
                      </m:r>
                      <m:r>
                        <m:rPr>
                          <m:sty m:val="p"/>
                        </m:rPr>
                        <m:t>,</m:t>
                      </m:r>
                      <m:r>
                        <m:t>A</m:t>
                      </m:r>
                    </m:e>
                  </m:d>
                  <m:r>
                    <m:rPr>
                      <m:sty m:val="p"/>
                    </m:rPr>
                    <m:t>,</m:t>
                  </m:r>
                  <m:r>
                    <m:t>k</m:t>
                  </m:r>
                  <m:r>
                    <m:rPr>
                      <m:sty m:val="p"/>
                    </m:rPr>
                    <m:t>,</m:t>
                  </m:r>
                  <m:r>
                    <m:t>ϵ</m:t>
                  </m:r>
                </m:sub>
              </m:sSub>
              <m:d>
                <m:dPr>
                  <m:begChr m:val="["/>
                  <m:endChr m:val="]"/>
                  <m:sepChr m:val=""/>
                  <m:grow/>
                </m:dPr>
                <m:e>
                  <m:r>
                    <m:rPr>
                      <m:sty m:val="p"/>
                    </m:rPr>
                    <m:t>∥</m:t>
                  </m:r>
                  <m:r>
                    <m:t>ϵ</m:t>
                  </m:r>
                  <m:r>
                    <m:rPr>
                      <m:sty m:val="p"/>
                    </m:rPr>
                    <m:t>−</m:t>
                  </m:r>
                  <m:sSub>
                    <m:e>
                      <m:r>
                        <m:t>ϵ</m:t>
                      </m:r>
                    </m:e>
                    <m:sub>
                      <m:r>
                        <m:t>θ</m:t>
                      </m:r>
                    </m:sub>
                  </m:sSub>
                  <m:d>
                    <m:dPr>
                      <m:begChr m:val="("/>
                      <m:endChr m:val=")"/>
                      <m:sepChr m:val=""/>
                      <m:grow/>
                    </m:dPr>
                    <m:e>
                      <m:sSubSup>
                        <m:e>
                          <m:r>
                            <m:t>A</m:t>
                          </m:r>
                        </m:e>
                        <m:sub>
                          <m:r>
                            <m:t>t</m:t>
                          </m:r>
                        </m:sub>
                        <m:sup>
                          <m:r>
                            <m:t>k</m:t>
                          </m:r>
                        </m:sup>
                      </m:sSubSup>
                      <m:r>
                        <m:rPr>
                          <m:sty m:val="p"/>
                        </m:rPr>
                        <m:t>,</m:t>
                      </m:r>
                      <m:r>
                        <m:t>k</m:t>
                      </m:r>
                      <m:r>
                        <m:rPr>
                          <m:sty m:val="p"/>
                        </m:rPr>
                        <m:t>,</m:t>
                      </m:r>
                      <m:sSub>
                        <m:e>
                          <m:r>
                            <m:t>C</m:t>
                          </m:r>
                        </m:e>
                        <m:sub>
                          <m:r>
                            <m:t>t</m:t>
                          </m:r>
                        </m:sub>
                      </m:sSub>
                    </m:e>
                  </m:d>
                  <m:sSubSup>
                    <m:e>
                      <m:r>
                        <m:rPr>
                          <m:sty m:val="p"/>
                        </m:rPr>
                        <m:t>∥</m:t>
                      </m:r>
                    </m:e>
                    <m:sub>
                      <m:r>
                        <m:t>2</m:t>
                      </m:r>
                    </m:sub>
                    <m:sup>
                      <m:r>
                        <m:t>2</m:t>
                      </m:r>
                    </m:sup>
                  </m:sSubSup>
                </m:e>
              </m:d>
              <m:r>
                <m:rPr>
                  <m:sty m:val="p"/>
                </m:rPr>
                <m:t>.</m:t>
              </m:r>
            </m:e>
          </m:borderBox>
        </m:oMath>
      </m:oMathPara>
    </w:p>
    <w:p>
      <w:pPr>
        <w:pStyle w:val="FirstParagraph"/>
      </w:pPr>
      <w:r>
        <w:t xml:space="preserve">若采用原始代码中不同的</w:t>
      </w:r>
      <w:r>
        <w:t xml:space="preserve"> </w:t>
      </w:r>
      <w:r>
        <w:rPr>
          <w:rStyle w:val="VerbatimChar"/>
        </w:rPr>
        <w:t xml:space="preserve">prediction_type</w:t>
      </w:r>
      <w:r>
        <w:t xml:space="preserve">，则应保持原有样本预测或其他调度器目标，而非强制更换为噪声预测。由于所有视觉组件与去噪网络连接在同一可微计算图中，训练损失可以经条件映射回传到 TokenLearner、GSA 和 ResNet18；初版不单独设计几何监督损失，也不需要像素级分割、物体关键点或抓取点标注。</w:t>
      </w:r>
    </w:p>
    <w:bookmarkEnd w:id="49"/>
    <w:bookmarkStart w:id="53" w:name="训练过程与实现顺序"/>
    <w:p>
      <w:pPr>
        <w:pStyle w:val="Heading3"/>
      </w:pPr>
      <w:r>
        <w:t xml:space="preserve">3.5.3 训练过程与实现顺序</w:t>
      </w:r>
    </w:p>
    <w:p>
      <w:pPr>
        <w:pStyle w:val="FirstParagraph"/>
      </w:pPr>
      <w:r>
        <w:t xml:space="preserve">训练采用与基线一致的示范数据划分、动作归一化器、训练更新总步数及评测环境。每个批次首先读取历史 RGB、Depth、本体状态和干净动作块；对 RGB/Depth 执行匹配的空间变换，并计算深度有效掩码；通过共享 ResNet 前段与 GSA 得到</w:t>
      </w:r>
      <w:r>
        <w:t xml:space="preserve"> </w:t>
      </w:r>
      <m:oMath>
        <m:sSup>
          <m:e>
            <m:r>
              <m:t>F</m:t>
            </m:r>
          </m:e>
          <m:sup>
            <m:r>
              <m:t>g</m:t>
            </m:r>
          </m:sup>
        </m:sSup>
      </m:oMath>
      <w:r>
        <w:t xml:space="preserve">；分别产生基础视觉向量及深度关联 Token；构造完整观测条件；采样扩散时间步与噪声，计算式（3-26）的损失并更新参数。</w:t>
      </w:r>
    </w:p>
    <w:p>
      <w:pPr>
        <w:pStyle w:val="BodyText"/>
      </w:pPr>
      <w:r>
        <w:t xml:space="preserve">建议主对照采用相同训练步数与相同示范轨迹；另行记录 GPU 训练时间，因为不同视觉编码器达到相同步数所需时间可能不同。若使用视觉预训练权重，必须记录来源及加载范围；完整 DFormerv2 的预训练权重不能未经结构匹配直接声明可用于本章的 ResNet18+单层 GSA 模型。</w:t>
      </w:r>
    </w:p>
    <w:p>
      <w:pPr>
        <w:pStyle w:val="CaptionedFigure"/>
      </w:pPr>
      <w:r>
        <w:drawing>
          <wp:inline>
            <wp:extent cx="5334000" cy="1834896"/>
            <wp:effectExtent b="0" l="0" r="0" t="0"/>
            <wp:docPr descr="图3-5 训练和推理流程占位图" title="" id="51" name="Picture"/>
            <a:graphic>
              <a:graphicData uri="http://schemas.openxmlformats.org/drawingml/2006/picture">
                <pic:pic>
                  <pic:nvPicPr>
                    <pic:cNvPr descr="figures/fig3_5_train.png" id="52" name="Picture"/>
                    <pic:cNvPicPr>
                      <a:picLocks noChangeArrowheads="1" noChangeAspect="1"/>
                    </pic:cNvPicPr>
                  </pic:nvPicPr>
                  <pic:blipFill>
                    <a:blip r:embed="rId50"/>
                    <a:stretch>
                      <a:fillRect/>
                    </a:stretch>
                  </pic:blipFill>
                  <pic:spPr bwMode="auto">
                    <a:xfrm>
                      <a:off x="0" y="0"/>
                      <a:ext cx="5334000" cy="1834896"/>
                    </a:xfrm>
                    <a:prstGeom prst="rect">
                      <a:avLst/>
                    </a:prstGeom>
                    <a:noFill/>
                    <a:ln w="9525">
                      <a:noFill/>
                      <a:headEnd/>
                      <a:tailEnd/>
                    </a:ln>
                  </pic:spPr>
                </pic:pic>
              </a:graphicData>
            </a:graphic>
          </wp:inline>
        </w:drawing>
      </w:r>
    </w:p>
    <w:p>
      <w:pPr>
        <w:pStyle w:val="ImageCaption"/>
      </w:pPr>
      <w:r>
        <w:t xml:space="preserve">图3-5 训练和推理流程占位图</w:t>
      </w:r>
    </w:p>
    <w:p>
      <w:pPr>
        <w:pStyle w:val="BodyText"/>
      </w:pPr>
      <w:r>
        <w:rPr>
          <w:b/>
          <w:bCs/>
        </w:rPr>
        <w:t xml:space="preserve">图3-5 GSC-DP 训练与闭环推理流程占位图</w:t>
      </w:r>
    </w:p>
    <w:bookmarkEnd w:id="53"/>
    <w:bookmarkStart w:id="54" w:name="闭环推理流程与复杂度"/>
    <w:p>
      <w:pPr>
        <w:pStyle w:val="Heading3"/>
      </w:pPr>
      <w:r>
        <w:t xml:space="preserve">3.5.4 闭环推理流程与复杂度</w:t>
      </w:r>
    </w:p>
    <w:p>
      <w:pPr>
        <w:pStyle w:val="FirstParagraph"/>
      </w:pPr>
      <w:r>
        <w:t xml:space="preserve">推理时，首先获得长度为</w:t>
      </w:r>
      <w:r>
        <w:t xml:space="preserve"> </w:t>
      </w:r>
      <m:oMath>
        <m:sSub>
          <m:e>
            <m:r>
              <m:t>T</m:t>
            </m:r>
          </m:e>
          <m:sub>
            <m:r>
              <m:t>o</m:t>
            </m:r>
          </m:sub>
        </m:sSub>
      </m:oMath>
      <w:r>
        <w:t xml:space="preserve"> </w:t>
      </w:r>
      <w:r>
        <w:t xml:space="preserve">的最新 RGB-D 与机器人状态序列；视觉编码器一次性计算每帧几何增强特征与联合 Token，得到固定条件</w:t>
      </w:r>
      <w:r>
        <w:t xml:space="preserve"> </w:t>
      </w:r>
      <m:oMath>
        <m:sSub>
          <m:e>
            <m:r>
              <m:t>C</m:t>
            </m:r>
          </m:e>
          <m:sub>
            <m:r>
              <m:t>t</m:t>
            </m:r>
          </m:sub>
        </m:sSub>
      </m:oMath>
      <w:r>
        <w:t xml:space="preserve">；随后从高斯噪声动作块出发，按照原始 DDPM 或 DDIM 采样器所设定的步数迭代去噪，输出动作预测；最后只执行配置中对应的前</w:t>
      </w:r>
      <w:r>
        <w:t xml:space="preserve"> </w:t>
      </w:r>
      <m:oMath>
        <m:sSub>
          <m:e>
            <m:r>
              <m:t>T</m:t>
            </m:r>
          </m:e>
          <m:sub>
            <m:r>
              <m:t>a</m:t>
            </m:r>
          </m:sub>
        </m:sSub>
      </m:oMath>
      <w:r>
        <w:t xml:space="preserve"> </w:t>
      </w:r>
      <w:r>
        <w:t xml:space="preserve">个动作，再次获取观测并重复上述流程。GSA 与 TokenLearner 不在每个去噪时间步重新计算。</w:t>
      </w:r>
    </w:p>
    <w:p>
      <w:pPr>
        <w:pStyle w:val="BodyText"/>
      </w:pPr>
      <w:r>
        <w:t xml:space="preserve">原始 CNN-DP 的推理时间可近似写为</w:t>
      </w:r>
      <w:r>
        <w:t xml:space="preserve"> </w:t>
      </w:r>
      <m:oMath>
        <m:sSub>
          <m:e>
            <m:r>
              <m:t>T</m:t>
            </m:r>
          </m:e>
          <m:sub>
            <m:r>
              <m:rPr>
                <m:sty m:val="p"/>
              </m:rPr>
              <m:t>b</m:t>
            </m:r>
            <m:r>
              <m:rPr>
                <m:sty m:val="p"/>
              </m:rPr>
              <m:t>a</m:t>
            </m:r>
            <m:r>
              <m:rPr>
                <m:sty m:val="p"/>
              </m:rPr>
              <m:t>s</m:t>
            </m:r>
            <m:r>
              <m:rPr>
                <m:sty m:val="p"/>
              </m:rPr>
              <m:t>e</m:t>
            </m:r>
          </m:sub>
        </m:sSub>
        <m:r>
          <m:rPr>
            <m:sty m:val="p"/>
          </m:rPr>
          <m:t>=</m:t>
        </m:r>
        <m:sSub>
          <m:e>
            <m:r>
              <m:t>T</m:t>
            </m:r>
          </m:e>
          <m:sub>
            <m:r>
              <m:rPr>
                <m:sty m:val="p"/>
              </m:rPr>
              <m:t>v</m:t>
            </m:r>
            <m:r>
              <m:rPr>
                <m:sty m:val="p"/>
              </m:rPr>
              <m:t>i</m:t>
            </m:r>
            <m:r>
              <m:rPr>
                <m:sty m:val="p"/>
              </m:rPr>
              <m:t>s</m:t>
            </m:r>
          </m:sub>
        </m:sSub>
        <m:r>
          <m:rPr>
            <m:sty m:val="p"/>
          </m:rPr>
          <m:t>+</m:t>
        </m:r>
        <m:r>
          <m:t>N</m:t>
        </m:r>
        <m:sSub>
          <m:e>
            <m:r>
              <m:t>T</m:t>
            </m:r>
          </m:e>
          <m:sub>
            <m:r>
              <m:rPr>
                <m:sty m:val="p"/>
              </m:rPr>
              <m:t>u</m:t>
            </m:r>
            <m:r>
              <m:rPr>
                <m:sty m:val="p"/>
              </m:rPr>
              <m:t>n</m:t>
            </m:r>
            <m:r>
              <m:rPr>
                <m:sty m:val="p"/>
              </m:rPr>
              <m:t>e</m:t>
            </m:r>
            <m:r>
              <m:rPr>
                <m:sty m:val="p"/>
              </m:rPr>
              <m:t>t</m:t>
            </m:r>
          </m:sub>
        </m:sSub>
        <m:r>
          <m:rPr>
            <m:sty m:val="p"/>
          </m:rPr>
          <m:t>+</m:t>
        </m:r>
        <m:sSub>
          <m:e>
            <m:r>
              <m:t>T</m:t>
            </m:r>
          </m:e>
          <m:sub>
            <m:r>
              <m:rPr>
                <m:sty m:val="p"/>
              </m:rPr>
              <m:t>a</m:t>
            </m:r>
            <m:r>
              <m:rPr>
                <m:sty m:val="p"/>
              </m:rPr>
              <m:t>u</m:t>
            </m:r>
            <m:r>
              <m:rPr>
                <m:sty m:val="p"/>
              </m:rPr>
              <m:t>x</m:t>
            </m:r>
          </m:sub>
        </m:sSub>
      </m:oMath>
      <w:r>
        <w:t xml:space="preserve">，本章额外增加的开销主要来自一次性的</w:t>
      </w:r>
      <w:r>
        <w:t xml:space="preserve"> </w:t>
      </w:r>
      <m:oMath>
        <m:sSub>
          <m:e>
            <m:r>
              <m:t>T</m:t>
            </m:r>
          </m:e>
          <m:sub>
            <m:r>
              <m:rPr>
                <m:sty m:val="p"/>
              </m:rPr>
              <m:t>G</m:t>
            </m:r>
            <m:r>
              <m:rPr>
                <m:sty m:val="p"/>
              </m:rPr>
              <m:t>S</m:t>
            </m:r>
            <m:r>
              <m:rPr>
                <m:sty m:val="p"/>
              </m:rPr>
              <m:t>A</m:t>
            </m:r>
          </m:sub>
        </m:sSub>
      </m:oMath>
      <w:r>
        <w:t xml:space="preserve">、</w:t>
      </w:r>
      <m:oMath>
        <m:sSub>
          <m:e>
            <m:r>
              <m:t>T</m:t>
            </m:r>
          </m:e>
          <m:sub>
            <m:r>
              <m:rPr>
                <m:sty m:val="p"/>
              </m:rPr>
              <m:t>t</m:t>
            </m:r>
            <m:r>
              <m:rPr>
                <m:sty m:val="p"/>
              </m:rPr>
              <m:t>o</m:t>
            </m:r>
            <m:r>
              <m:rPr>
                <m:sty m:val="p"/>
              </m:rPr>
              <m:t>k</m:t>
            </m:r>
            <m:r>
              <m:rPr>
                <m:sty m:val="p"/>
              </m:rPr>
              <m:t>e</m:t>
            </m:r>
            <m:r>
              <m:rPr>
                <m:sty m:val="p"/>
              </m:rPr>
              <m:t>n</m:t>
            </m:r>
          </m:sub>
        </m:sSub>
      </m:oMath>
      <w:r>
        <w:t xml:space="preserve"> </w:t>
      </w:r>
      <w:r>
        <w:t xml:space="preserve">与</w:t>
      </w:r>
      <w:r>
        <w:t xml:space="preserve"> </w:t>
      </w:r>
      <m:oMath>
        <m:sSub>
          <m:e>
            <m:r>
              <m:t>T</m:t>
            </m:r>
          </m:e>
          <m:sub>
            <m:r>
              <m:rPr>
                <m:sty m:val="p"/>
              </m:rPr>
              <m:t>g</m:t>
            </m:r>
            <m:r>
              <m:rPr>
                <m:sty m:val="p"/>
              </m:rPr>
              <m:t>e</m:t>
            </m:r>
            <m:r>
              <m:rPr>
                <m:sty m:val="p"/>
              </m:rPr>
              <m:t>o</m:t>
            </m:r>
          </m:sub>
        </m:sSub>
      </m:oMath>
      <w:r>
        <w:t xml:space="preserve">，而不是乘以去噪次数</w:t>
      </w:r>
      <w:r>
        <w:t xml:space="preserve"> </w:t>
      </w:r>
      <m:oMath>
        <m:r>
          <m:t>N</m:t>
        </m:r>
      </m:oMath>
      <w:r>
        <w:t xml:space="preserve">。不过，这只说明开销不随</w:t>
      </w:r>
      <w:r>
        <w:t xml:space="preserve"> </w:t>
      </w:r>
      <m:oMath>
        <m:r>
          <m:t>N</m:t>
        </m:r>
      </m:oMath>
      <w:r>
        <w:t xml:space="preserve"> </w:t>
      </w:r>
      <w:r>
        <w:t xml:space="preserve">线性重复，不保证实际规划时延低于原基线。GPU 内核调度、内存访问与数据预处理也可能改变真实延迟，必须在同一硬件上使用同步计时和相同运行配置评估。</w:t>
      </w:r>
    </w:p>
    <w:bookmarkEnd w:id="54"/>
    <w:bookmarkStart w:id="55" w:name="关键超参数与复现要求"/>
    <w:p>
      <w:pPr>
        <w:pStyle w:val="Heading3"/>
      </w:pPr>
      <w:r>
        <w:t xml:space="preserve">3.5.5 关键超参数与复现要求</w:t>
      </w:r>
    </w:p>
    <w:p>
      <w:pPr>
        <w:pStyle w:val="FirstParagraph"/>
      </w:pPr>
      <w:r>
        <w:rPr>
          <w:b/>
          <w:bCs/>
        </w:rPr>
        <w:t xml:space="preserve">表3-2 GSC-DP 首版实现参数（待代码实测确认）</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参数或设置</w:t>
            </w:r>
          </w:p>
        </w:tc>
        <w:tc>
          <w:tcPr/>
          <w:p>
            <w:pPr>
              <w:pStyle w:val="Compact"/>
              <w:jc w:val="left"/>
            </w:pPr>
            <w:r>
              <w:t xml:space="preserve">首版建议</w:t>
            </w:r>
          </w:p>
        </w:tc>
        <w:tc>
          <w:tcPr/>
          <w:p>
            <w:pPr>
              <w:pStyle w:val="Compact"/>
              <w:jc w:val="left"/>
            </w:pPr>
            <w:r>
              <w:t xml:space="preserve">说明</w:t>
            </w:r>
          </w:p>
        </w:tc>
      </w:tr>
      <w:tr>
        <w:tc>
          <w:tcPr/>
          <w:p>
            <w:pPr>
              <w:pStyle w:val="Compact"/>
              <w:jc w:val="left"/>
            </w:pPr>
            <w:r>
              <w:t xml:space="preserve">Baseline</w:t>
            </w:r>
          </w:p>
        </w:tc>
        <w:tc>
          <w:tcPr/>
          <w:p>
            <w:pPr>
              <w:pStyle w:val="Compact"/>
              <w:jc w:val="left"/>
            </w:pPr>
            <w:r>
              <w:t xml:space="preserve">CNN Diffusion Policy</w:t>
            </w:r>
          </w:p>
        </w:tc>
        <w:tc>
          <w:tcPr/>
          <w:p>
            <w:pPr>
              <w:pStyle w:val="Compact"/>
              <w:jc w:val="left"/>
            </w:pPr>
            <w:r>
              <w:t xml:space="preserve">Conditional 1D U-Net 不变</w:t>
            </w:r>
          </w:p>
        </w:tc>
      </w:tr>
      <w:tr>
        <w:tc>
          <w:tcPr/>
          <w:p>
            <w:pPr>
              <w:pStyle w:val="Compact"/>
              <w:jc w:val="left"/>
            </w:pPr>
            <w:r>
              <w:t xml:space="preserve">RGB-D 输入尺寸</w:t>
            </w:r>
          </w:p>
        </w:tc>
        <w:tc>
          <w:tcPr/>
          <w:p>
            <w:pPr>
              <w:pStyle w:val="Compact"/>
              <w:jc w:val="left"/>
            </w:pPr>
            <w:r>
              <w:t xml:space="preserve">随现有任务配置；举例 96×96</w:t>
            </w:r>
          </w:p>
        </w:tc>
        <w:tc>
          <w:tcPr/>
          <w:p>
            <w:pPr>
              <w:pStyle w:val="Compact"/>
              <w:jc w:val="left"/>
            </w:pPr>
            <w:r>
              <w:t xml:space="preserve">不强制修改基线分辨率</w:t>
            </w:r>
          </w:p>
        </w:tc>
      </w:tr>
      <w:tr>
        <w:tc>
          <w:tcPr/>
          <w:p>
            <w:pPr>
              <w:pStyle w:val="Compact"/>
              <w:jc w:val="left"/>
            </w:pPr>
            <w:r>
              <w:t xml:space="preserve">GSA 插入阶段</w:t>
            </w:r>
          </w:p>
        </w:tc>
        <w:tc>
          <w:tcPr/>
          <w:p>
            <w:pPr>
              <w:pStyle w:val="Compact"/>
              <w:jc w:val="left"/>
            </w:pPr>
            <w:r>
              <w:t xml:space="preserve">ResNet18 约 1/8 尺度</w:t>
            </w:r>
          </w:p>
        </w:tc>
        <w:tc>
          <w:tcPr/>
          <w:p>
            <w:pPr>
              <w:pStyle w:val="Compact"/>
              <w:jc w:val="left"/>
            </w:pPr>
            <w:r>
              <w:t xml:space="preserve">通过真实特征尺寸确认</w:t>
            </w:r>
          </w:p>
        </w:tc>
      </w:tr>
      <w:tr>
        <w:tc>
          <w:tcPr/>
          <w:p>
            <w:pPr>
              <w:pStyle w:val="Compact"/>
              <w:jc w:val="left"/>
            </w:pPr>
            <w:r>
              <w:t xml:space="preserve">GSA 形式</w:t>
            </w:r>
          </w:p>
        </w:tc>
        <w:tc>
          <w:tcPr/>
          <w:p>
            <w:pPr>
              <w:pStyle w:val="Compact"/>
              <w:jc w:val="left"/>
            </w:pPr>
            <w:r>
              <w:t xml:space="preserve">Decomposed-GSA</w:t>
            </w:r>
          </w:p>
        </w:tc>
        <w:tc>
          <w:tcPr/>
          <w:p>
            <w:pPr>
              <w:pStyle w:val="Compact"/>
              <w:jc w:val="left"/>
            </w:pPr>
            <w:r>
              <w:t xml:space="preserve">与官方机制一致的轻量形式</w:t>
            </w:r>
          </w:p>
        </w:tc>
      </w:tr>
      <w:tr>
        <w:tc>
          <w:tcPr/>
          <w:p>
            <w:pPr>
              <w:pStyle w:val="Compact"/>
              <w:jc w:val="left"/>
            </w:pPr>
            <w:r>
              <w:t xml:space="preserve">GSA 数量</w:t>
            </w:r>
          </w:p>
        </w:tc>
        <w:tc>
          <w:tcPr/>
          <w:p>
            <w:pPr>
              <w:pStyle w:val="Compact"/>
              <w:jc w:val="left"/>
            </w:pPr>
            <w:r>
              <w:t xml:space="preserve">1 个</w:t>
            </w:r>
          </w:p>
        </w:tc>
        <w:tc>
          <w:tcPr/>
          <w:p>
            <w:pPr>
              <w:pStyle w:val="Compact"/>
              <w:jc w:val="left"/>
            </w:pPr>
            <w:r>
              <w:t xml:space="preserve">不堆叠完整 DFormerv2 主干</w:t>
            </w:r>
          </w:p>
        </w:tc>
      </w:tr>
      <w:tr>
        <w:tc>
          <w:tcPr/>
          <w:p>
            <w:pPr>
              <w:pStyle w:val="Compact"/>
              <w:jc w:val="left"/>
            </w:pPr>
            <w:r>
              <w:t xml:space="preserve">残差系数</w:t>
            </w:r>
            <w:r>
              <w:t xml:space="preserve"> </w:t>
            </w:r>
            <m:oMath>
              <m:r>
                <m:t>γ</m:t>
              </m:r>
            </m:oMath>
          </w:p>
        </w:tc>
        <w:tc>
          <w:tcPr/>
          <w:p>
            <w:pPr>
              <w:pStyle w:val="Compact"/>
              <w:jc w:val="left"/>
            </w:pPr>
            <w:r>
              <w:t xml:space="preserve">初始建议 0.1</w:t>
            </w:r>
          </w:p>
        </w:tc>
        <w:tc>
          <w:tcPr/>
          <w:p>
            <w:pPr>
              <w:pStyle w:val="Compact"/>
              <w:jc w:val="left"/>
            </w:pPr>
            <w:r>
              <w:t xml:space="preserve">需比较初始化方案</w:t>
            </w:r>
          </w:p>
        </w:tc>
      </w:tr>
      <w:tr>
        <w:tc>
          <w:tcPr/>
          <w:p>
            <w:pPr>
              <w:pStyle w:val="Compact"/>
              <w:jc w:val="left"/>
            </w:pPr>
            <w:r>
              <w:t xml:space="preserve">Token 数量</w:t>
            </w:r>
            <w:r>
              <w:t xml:space="preserve"> </w:t>
            </w:r>
            <m:oMath>
              <m:r>
                <m:t>K</m:t>
              </m:r>
            </m:oMath>
          </w:p>
        </w:tc>
        <w:tc>
          <w:tcPr/>
          <w:p>
            <w:pPr>
              <w:pStyle w:val="Compact"/>
              <w:jc w:val="left"/>
            </w:pPr>
            <w:r>
              <w:t xml:space="preserve">8</w:t>
            </w:r>
          </w:p>
        </w:tc>
        <w:tc>
          <w:tcPr/>
          <w:p>
            <w:pPr>
              <w:pStyle w:val="Compact"/>
              <w:jc w:val="left"/>
            </w:pPr>
            <w:r>
              <w:t xml:space="preserve">可消融 4/8/16</w:t>
            </w:r>
          </w:p>
        </w:tc>
      </w:tr>
      <w:tr>
        <w:tc>
          <w:tcPr/>
          <w:p>
            <w:pPr>
              <w:pStyle w:val="Compact"/>
              <w:jc w:val="left"/>
            </w:pPr>
            <w:r>
              <w:t xml:space="preserve">Token 权重</w:t>
            </w:r>
          </w:p>
        </w:tc>
        <w:tc>
          <w:tcPr/>
          <w:p>
            <w:pPr>
              <w:pStyle w:val="Compact"/>
              <w:jc w:val="left"/>
            </w:pPr>
            <w:r>
              <w:t xml:space="preserve">空间 Softmax</w:t>
            </w:r>
          </w:p>
        </w:tc>
        <w:tc>
          <w:tcPr/>
          <w:p>
            <w:pPr>
              <w:pStyle w:val="Compact"/>
              <w:jc w:val="left"/>
            </w:pPr>
            <w:r>
              <w:t xml:space="preserve">对照 TokenLearner V1.1 实现</w:t>
            </w:r>
          </w:p>
        </w:tc>
      </w:tr>
      <w:tr>
        <w:tc>
          <w:tcPr/>
          <w:p>
            <w:pPr>
              <w:pStyle w:val="Compact"/>
              <w:jc w:val="left"/>
            </w:pPr>
            <w:r>
              <w:t xml:space="preserve">深度单位</w:t>
            </w:r>
          </w:p>
        </w:tc>
        <w:tc>
          <w:tcPr/>
          <w:p>
            <w:pPr>
              <w:pStyle w:val="Compact"/>
              <w:jc w:val="left"/>
            </w:pPr>
            <w:r>
              <w:t xml:space="preserve">固定米制或统一缩放</w:t>
            </w:r>
          </w:p>
        </w:tc>
        <w:tc>
          <w:tcPr/>
          <w:p>
            <w:pPr>
              <w:pStyle w:val="Compact"/>
              <w:jc w:val="left"/>
            </w:pPr>
            <w:r>
              <w:t xml:space="preserve">保持绝对深度可解释性</w:t>
            </w:r>
          </w:p>
        </w:tc>
      </w:tr>
      <w:tr>
        <w:tc>
          <w:tcPr/>
          <w:p>
            <w:pPr>
              <w:pStyle w:val="Compact"/>
              <w:jc w:val="left"/>
            </w:pPr>
            <w:r>
              <w:t xml:space="preserve">动作与扩散配置</w:t>
            </w:r>
          </w:p>
        </w:tc>
        <w:tc>
          <w:tcPr/>
          <w:p>
            <w:pPr>
              <w:pStyle w:val="Compact"/>
              <w:jc w:val="left"/>
            </w:pPr>
            <w:r>
              <w:t xml:space="preserve">与原始基线一致</w:t>
            </w:r>
          </w:p>
        </w:tc>
        <w:tc>
          <w:tcPr/>
          <w:p>
            <w:pPr>
              <w:pStyle w:val="Compact"/>
              <w:jc w:val="left"/>
            </w:pPr>
            <w:r>
              <w:t xml:space="preserve">防止评测归因混淆</w:t>
            </w:r>
          </w:p>
        </w:tc>
      </w:tr>
      <w:tr>
        <w:tc>
          <w:tcPr/>
          <w:p>
            <w:pPr>
              <w:pStyle w:val="Compact"/>
              <w:jc w:val="left"/>
            </w:pPr>
            <w:r>
              <w:t xml:space="preserve">多相机深度</w:t>
            </w:r>
          </w:p>
        </w:tc>
        <w:tc>
          <w:tcPr/>
          <w:p>
            <w:pPr>
              <w:pStyle w:val="Compact"/>
              <w:jc w:val="left"/>
            </w:pPr>
            <w:r>
              <w:t xml:space="preserve">先用一个对齐 RGB-D 视角</w:t>
            </w:r>
          </w:p>
        </w:tc>
        <w:tc>
          <w:tcPr/>
          <w:p>
            <w:pPr>
              <w:pStyle w:val="Compact"/>
              <w:jc w:val="left"/>
            </w:pPr>
            <w:r>
              <w:t xml:space="preserve">其他视角保持基线处理</w:t>
            </w:r>
          </w:p>
        </w:tc>
      </w:tr>
    </w:tbl>
    <w:bookmarkEnd w:id="55"/>
    <w:bookmarkEnd w:id="56"/>
    <w:bookmarkStart w:id="69" w:name="实验设计与结果分析实测数据待填"/>
    <w:p>
      <w:pPr>
        <w:pStyle w:val="Heading2"/>
      </w:pPr>
      <w:r>
        <w:t xml:space="preserve">3.6 实验设计与结果分析（实测数据待填）</w:t>
      </w:r>
    </w:p>
    <w:p>
      <w:pPr>
        <w:pStyle w:val="FirstParagraph"/>
      </w:pPr>
      <w:r>
        <w:t xml:space="preserve">本节实验不采用“同一训练 epoch 强制适配所有基准”的做法，而是在 MimicGen 与 ManiSkill 3 内各自采用具有公开依据的训练与闭环评测设置；所有算法在</w:t>
      </w:r>
      <w:r>
        <w:rPr>
          <w:b/>
          <w:bCs/>
        </w:rPr>
        <w:t xml:space="preserve">同一任务内</w:t>
      </w:r>
      <w:r>
        <w:t xml:space="preserve">使用相同的专家示范子集、评测初始状态、最大执行步数、评价指标与报告方式。为保持模块效果可归因，本文 CNN-DP 家族（E0–E7）固定原始条件一维 U-Net 与训练配置，仅改变视觉输入和编码结构。对 ACT、BC-RNN、DP3 等不同范式保留其公开合理的结构与动作预测方式，完整披露实现差异。</w:t>
      </w:r>
    </w:p>
    <w:bookmarkStart w:id="57" w:name="两类-benchmark-的任务选择"/>
    <w:p>
      <w:pPr>
        <w:pStyle w:val="Heading3"/>
      </w:pPr>
      <w:r>
        <w:t xml:space="preserve">3.6.1 两类 Benchmark 的任务选择</w:t>
      </w:r>
    </w:p>
    <w:p>
      <w:pPr>
        <w:pStyle w:val="FirstParagraph"/>
      </w:pPr>
      <w:r>
        <w:rPr>
          <w:b/>
          <w:bCs/>
        </w:rPr>
        <w:t xml:space="preserve">（1）MimicGen Core。</w:t>
      </w:r>
      <w:r>
        <w:t xml:space="preserve"> </w:t>
      </w:r>
      <w:r>
        <w:t xml:space="preserve">MimicGen 从少量人类示范生成不同初始状态分布下的大量机器人操作轨迹，提供与 robosuite/robomimic 兼容的仿真环境和任务成功判断[5]。本章选择</w:t>
      </w:r>
      <w:r>
        <w:t xml:space="preserve"> </w:t>
      </w:r>
      <w:r>
        <w:rPr>
          <w:rStyle w:val="VerbatimChar"/>
        </w:rPr>
        <w:t xml:space="preserve">stack_three_d1</w:t>
      </w:r>
      <w:r>
        <w:t xml:space="preserve">、</w:t>
      </w:r>
      <w:r>
        <w:rPr>
          <w:rStyle w:val="VerbatimChar"/>
        </w:rPr>
        <w:t xml:space="preserve">threading_d2</w:t>
      </w:r>
      <w:r>
        <w:t xml:space="preserve">、</w:t>
      </w:r>
      <w:r>
        <w:rPr>
          <w:rStyle w:val="VerbatimChar"/>
        </w:rPr>
        <w:t xml:space="preserve">coffee_d2</w:t>
      </w:r>
      <w:r>
        <w:t xml:space="preserve">，分别覆盖连续堆叠、对准穿入和多阶段操作。官方注册的上述三个任务 evaluation horizon 均为 400 步。本章采用每任务 200 条专家示范作为主要训练规模，保留 100 和 1000 条用于数据效率分析。与成功率已接近满分的 Can PH 等经典 RoboMimic 设置相比，这些任务保留了更大的性能分析空间，但模型收益必须由当前复现实验确定，不直接搬用其他论文的成功率当作本实验成绩。</w:t>
      </w:r>
    </w:p>
    <w:p>
      <w:pPr>
        <w:pStyle w:val="BodyText"/>
      </w:pPr>
      <w:r>
        <w:rPr>
          <w:b/>
          <w:bCs/>
        </w:rPr>
        <w:t xml:space="preserve">（2）ManiSkill 3。</w:t>
      </w:r>
      <w:r>
        <w:t xml:space="preserve"> </w:t>
      </w:r>
      <w:r>
        <w:t xml:space="preserve">ManiSkill 3 提供多种机器人操作环境和 RGB-D 视觉观测模式，允许从官方轨迹重放并保存观测，也提供用于评价的任务成功状态[6]。选择</w:t>
      </w:r>
      <w:r>
        <w:t xml:space="preserve"> </w:t>
      </w:r>
      <w:r>
        <w:rPr>
          <w:rStyle w:val="VerbatimChar"/>
        </w:rPr>
        <w:t xml:space="preserve">StackCube-v1</w:t>
      </w:r>
      <w:r>
        <w:t xml:space="preserve"> </w:t>
      </w:r>
      <w:r>
        <w:t xml:space="preserve">和</w:t>
      </w:r>
      <w:r>
        <w:t xml:space="preserve"> </w:t>
      </w:r>
      <w:r>
        <w:rPr>
          <w:rStyle w:val="VerbatimChar"/>
        </w:rPr>
        <w:t xml:space="preserve">PegInsertionSide-v1</w:t>
      </w:r>
      <w:r>
        <w:t xml:space="preserve">：前者对应物体间的空间位置关系，后者对应精细插入。在本章中分别取官方 100 条示范；执行上限按照官方参考配置取 200 与 300 步。StackCube 的视觉 DP 官方示例明确使用 100,000 optimizer updates；PegInsertionSide 的 100,000 updates 来自官方状态 DP 和视觉 ACT 的同任务设置，</w:t>
      </w:r>
      <w:r>
        <w:rPr>
          <w:b/>
          <w:bCs/>
        </w:rPr>
        <w:t xml:space="preserve">本文将其指定为视觉 CNN-DP 的固定研究预算，而不宣称为官方已调优的视觉 DP 标准</w:t>
      </w:r>
      <w:r>
        <w:t xml:space="preserve">。</w:t>
      </w:r>
    </w:p>
    <w:p>
      <w:pPr>
        <w:pStyle w:val="BodyText"/>
      </w:pPr>
      <w:r>
        <w:rPr>
          <w:b/>
          <w:bCs/>
        </w:rPr>
        <w:t xml:space="preserve">表3-3 五项研究任务及主评测协议（前三项为 MimicGen，后两项为 ManiSkill 3；正式稿补入采集版本与样本帧数）</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任务</w:t>
            </w:r>
          </w:p>
        </w:tc>
        <w:tc>
          <w:tcPr/>
          <w:p>
            <w:pPr>
              <w:pStyle w:val="Compact"/>
              <w:jc w:val="right"/>
            </w:pPr>
            <w:r>
              <w:t xml:space="preserve">示范数</w:t>
            </w:r>
          </w:p>
        </w:tc>
        <w:tc>
          <w:tcPr/>
          <w:p>
            <w:pPr>
              <w:pStyle w:val="Compact"/>
              <w:jc w:val="right"/>
            </w:pPr>
            <w:r>
              <w:t xml:space="preserve">训练预算</w:t>
            </w:r>
          </w:p>
        </w:tc>
        <w:tc>
          <w:tcPr/>
          <w:p>
            <w:pPr>
              <w:pStyle w:val="Compact"/>
              <w:jc w:val="right"/>
            </w:pPr>
            <w:r>
              <w:t xml:space="preserve">保存间隔</w:t>
            </w:r>
          </w:p>
        </w:tc>
        <w:tc>
          <w:tcPr/>
          <w:p>
            <w:pPr>
              <w:pStyle w:val="Compact"/>
              <w:jc w:val="right"/>
            </w:pPr>
            <w:r>
              <w:t xml:space="preserve">每点评测回合</w:t>
            </w:r>
          </w:p>
        </w:tc>
        <w:tc>
          <w:tcPr/>
          <w:p>
            <w:pPr>
              <w:pStyle w:val="Compact"/>
              <w:jc w:val="right"/>
            </w:pPr>
            <w:r>
              <w:t xml:space="preserve">最大步数</w:t>
            </w:r>
          </w:p>
        </w:tc>
      </w:tr>
      <w:tr>
        <w:tc>
          <w:tcPr/>
          <w:p>
            <w:pPr>
              <w:pStyle w:val="Compact"/>
              <w:jc w:val="left"/>
            </w:pPr>
            <w:r>
              <w:t xml:space="preserve">Stack Three D1</w:t>
            </w:r>
          </w:p>
        </w:tc>
        <w:tc>
          <w:tcPr/>
          <w:p>
            <w:pPr>
              <w:pStyle w:val="Compact"/>
              <w:jc w:val="right"/>
            </w:pPr>
            <w:r>
              <w:t xml:space="preserve">200</w:t>
            </w:r>
          </w:p>
        </w:tc>
        <w:tc>
          <w:tcPr/>
          <w:p>
            <w:pPr>
              <w:pStyle w:val="Compact"/>
              <w:jc w:val="right"/>
            </w:pPr>
            <w:r>
              <w:t xml:space="preserve">250 epochs</w:t>
            </w:r>
          </w:p>
        </w:tc>
        <w:tc>
          <w:tcPr/>
          <w:p>
            <w:pPr>
              <w:pStyle w:val="Compact"/>
              <w:jc w:val="right"/>
            </w:pPr>
            <w:r>
              <w:t xml:space="preserve">5 epochs</w:t>
            </w:r>
          </w:p>
        </w:tc>
        <w:tc>
          <w:tcPr/>
          <w:p>
            <w:pPr>
              <w:pStyle w:val="Compact"/>
              <w:jc w:val="right"/>
            </w:pPr>
            <w:r>
              <w:t xml:space="preserve">50</w:t>
            </w:r>
          </w:p>
        </w:tc>
        <w:tc>
          <w:tcPr/>
          <w:p>
            <w:pPr>
              <w:pStyle w:val="Compact"/>
              <w:jc w:val="right"/>
            </w:pPr>
            <w:r>
              <w:t xml:space="preserve">400</w:t>
            </w:r>
          </w:p>
        </w:tc>
      </w:tr>
      <w:tr>
        <w:tc>
          <w:tcPr/>
          <w:p>
            <w:pPr>
              <w:pStyle w:val="Compact"/>
              <w:jc w:val="left"/>
            </w:pPr>
            <w:r>
              <w:t xml:space="preserve">Threading D2</w:t>
            </w:r>
          </w:p>
        </w:tc>
        <w:tc>
          <w:tcPr/>
          <w:p>
            <w:pPr>
              <w:pStyle w:val="Compact"/>
              <w:jc w:val="right"/>
            </w:pPr>
            <w:r>
              <w:t xml:space="preserve">200</w:t>
            </w:r>
          </w:p>
        </w:tc>
        <w:tc>
          <w:tcPr/>
          <w:p>
            <w:pPr>
              <w:pStyle w:val="Compact"/>
              <w:jc w:val="right"/>
            </w:pPr>
            <w:r>
              <w:t xml:space="preserve">250 epochs</w:t>
            </w:r>
          </w:p>
        </w:tc>
        <w:tc>
          <w:tcPr/>
          <w:p>
            <w:pPr>
              <w:pStyle w:val="Compact"/>
              <w:jc w:val="right"/>
            </w:pPr>
            <w:r>
              <w:t xml:space="preserve">5 epochs</w:t>
            </w:r>
          </w:p>
        </w:tc>
        <w:tc>
          <w:tcPr/>
          <w:p>
            <w:pPr>
              <w:pStyle w:val="Compact"/>
              <w:jc w:val="right"/>
            </w:pPr>
            <w:r>
              <w:t xml:space="preserve">50</w:t>
            </w:r>
          </w:p>
        </w:tc>
        <w:tc>
          <w:tcPr/>
          <w:p>
            <w:pPr>
              <w:pStyle w:val="Compact"/>
              <w:jc w:val="right"/>
            </w:pPr>
            <w:r>
              <w:t xml:space="preserve">400</w:t>
            </w:r>
          </w:p>
        </w:tc>
      </w:tr>
      <w:tr>
        <w:tc>
          <w:tcPr/>
          <w:p>
            <w:pPr>
              <w:pStyle w:val="Compact"/>
              <w:jc w:val="left"/>
            </w:pPr>
            <w:r>
              <w:t xml:space="preserve">Coffee D2</w:t>
            </w:r>
          </w:p>
        </w:tc>
        <w:tc>
          <w:tcPr/>
          <w:p>
            <w:pPr>
              <w:pStyle w:val="Compact"/>
              <w:jc w:val="right"/>
            </w:pPr>
            <w:r>
              <w:t xml:space="preserve">200</w:t>
            </w:r>
          </w:p>
        </w:tc>
        <w:tc>
          <w:tcPr/>
          <w:p>
            <w:pPr>
              <w:pStyle w:val="Compact"/>
              <w:jc w:val="right"/>
            </w:pPr>
            <w:r>
              <w:t xml:space="preserve">250 epochs</w:t>
            </w:r>
          </w:p>
        </w:tc>
        <w:tc>
          <w:tcPr/>
          <w:p>
            <w:pPr>
              <w:pStyle w:val="Compact"/>
              <w:jc w:val="right"/>
            </w:pPr>
            <w:r>
              <w:t xml:space="preserve">5 epochs</w:t>
            </w:r>
          </w:p>
        </w:tc>
        <w:tc>
          <w:tcPr/>
          <w:p>
            <w:pPr>
              <w:pStyle w:val="Compact"/>
              <w:jc w:val="right"/>
            </w:pPr>
            <w:r>
              <w:t xml:space="preserve">50</w:t>
            </w:r>
          </w:p>
        </w:tc>
        <w:tc>
          <w:tcPr/>
          <w:p>
            <w:pPr>
              <w:pStyle w:val="Compact"/>
              <w:jc w:val="right"/>
            </w:pPr>
            <w:r>
              <w:t xml:space="preserve">400</w:t>
            </w:r>
          </w:p>
        </w:tc>
      </w:tr>
      <w:tr>
        <w:tc>
          <w:tcPr/>
          <w:p>
            <w:pPr>
              <w:pStyle w:val="Compact"/>
              <w:jc w:val="left"/>
            </w:pPr>
            <w:r>
              <w:t xml:space="preserve">StackCube-v1</w:t>
            </w:r>
          </w:p>
        </w:tc>
        <w:tc>
          <w:tcPr/>
          <w:p>
            <w:pPr>
              <w:pStyle w:val="Compact"/>
              <w:jc w:val="right"/>
            </w:pPr>
            <w:r>
              <w:t xml:space="preserve">100</w:t>
            </w:r>
          </w:p>
        </w:tc>
        <w:tc>
          <w:tcPr/>
          <w:p>
            <w:pPr>
              <w:pStyle w:val="Compact"/>
              <w:jc w:val="right"/>
            </w:pPr>
            <w:r>
              <w:t xml:space="preserve">100,000 updates</w:t>
            </w:r>
          </w:p>
        </w:tc>
        <w:tc>
          <w:tcPr/>
          <w:p>
            <w:pPr>
              <w:pStyle w:val="Compact"/>
              <w:jc w:val="right"/>
            </w:pPr>
            <w:r>
              <w:t xml:space="preserve">5,000 updates</w:t>
            </w:r>
          </w:p>
        </w:tc>
        <w:tc>
          <w:tcPr/>
          <w:p>
            <w:pPr>
              <w:pStyle w:val="Compact"/>
              <w:jc w:val="right"/>
            </w:pPr>
            <w:r>
              <w:t xml:space="preserve">100</w:t>
            </w:r>
          </w:p>
        </w:tc>
        <w:tc>
          <w:tcPr/>
          <w:p>
            <w:pPr>
              <w:pStyle w:val="Compact"/>
              <w:jc w:val="right"/>
            </w:pPr>
            <w:r>
              <w:t xml:space="preserve">200</w:t>
            </w:r>
          </w:p>
        </w:tc>
      </w:tr>
      <w:tr>
        <w:tc>
          <w:tcPr/>
          <w:p>
            <w:pPr>
              <w:pStyle w:val="Compact"/>
              <w:jc w:val="left"/>
            </w:pPr>
            <w:r>
              <w:t xml:space="preserve">PegInsertionSide</w:t>
            </w:r>
          </w:p>
        </w:tc>
        <w:tc>
          <w:tcPr/>
          <w:p>
            <w:pPr>
              <w:pStyle w:val="Compact"/>
              <w:jc w:val="right"/>
            </w:pPr>
            <w:r>
              <w:t xml:space="preserve">100</w:t>
            </w:r>
          </w:p>
        </w:tc>
        <w:tc>
          <w:tcPr/>
          <w:p>
            <w:pPr>
              <w:pStyle w:val="Compact"/>
              <w:jc w:val="right"/>
            </w:pPr>
            <w:r>
              <w:t xml:space="preserve">100,000 updates</w:t>
            </w:r>
          </w:p>
        </w:tc>
        <w:tc>
          <w:tcPr/>
          <w:p>
            <w:pPr>
              <w:pStyle w:val="Compact"/>
              <w:jc w:val="right"/>
            </w:pPr>
            <w:r>
              <w:t xml:space="preserve">5,000 updates</w:t>
            </w:r>
          </w:p>
        </w:tc>
        <w:tc>
          <w:tcPr/>
          <w:p>
            <w:pPr>
              <w:pStyle w:val="Compact"/>
              <w:jc w:val="right"/>
            </w:pPr>
            <w:r>
              <w:t xml:space="preserve">100</w:t>
            </w:r>
          </w:p>
        </w:tc>
        <w:tc>
          <w:tcPr/>
          <w:p>
            <w:pPr>
              <w:pStyle w:val="Compact"/>
              <w:jc w:val="right"/>
            </w:pPr>
            <w:r>
              <w:t xml:space="preserve">300</w:t>
            </w:r>
          </w:p>
        </w:tc>
      </w:tr>
    </w:tbl>
    <w:p>
      <w:pPr>
        <w:pStyle w:val="BodyText"/>
      </w:pPr>
      <w:r>
        <w:t xml:space="preserve">表中 MimicGen 的 epoch 和间隔依据 Wang 等人在 2026 年 IJRR 论文中使用的</w:t>
      </w:r>
      <w:r>
        <w:t xml:space="preserve"> </w:t>
      </w:r>
      <m:oMath>
        <m:sSub>
          <m:e>
            <m:r>
              <m:t>E</m:t>
            </m:r>
          </m:e>
          <m:sub>
            <m:r>
              <m:t>t</m:t>
            </m:r>
            <m:r>
              <m:t>r</m:t>
            </m:r>
            <m:r>
              <m:t>a</m:t>
            </m:r>
            <m:r>
              <m:t>i</m:t>
            </m:r>
            <m:r>
              <m:t>n</m:t>
            </m:r>
          </m:sub>
        </m:sSub>
        <m:r>
          <m:rPr>
            <m:sty m:val="p"/>
          </m:rPr>
          <m:t>=</m:t>
        </m:r>
        <m:r>
          <m:t>50000</m:t>
        </m:r>
        <m:r>
          <m:rPr>
            <m:sty m:val="p"/>
          </m:rPr>
          <m:t>/</m:t>
        </m:r>
        <m:r>
          <m:t>n</m:t>
        </m:r>
      </m:oMath>
      <w:r>
        <w:t xml:space="preserve"> </w:t>
      </w:r>
      <w:r>
        <w:t xml:space="preserve">和</w:t>
      </w:r>
      <w:r>
        <w:t xml:space="preserve"> </w:t>
      </w:r>
      <m:oMath>
        <m:sSub>
          <m:e>
            <m:r>
              <m:t>E</m:t>
            </m:r>
          </m:e>
          <m:sub>
            <m:r>
              <m:t>e</m:t>
            </m:r>
            <m:r>
              <m:t>v</m:t>
            </m:r>
            <m:r>
              <m:t>a</m:t>
            </m:r>
            <m:r>
              <m:t>l</m:t>
            </m:r>
          </m:sub>
        </m:sSub>
        <m:r>
          <m:rPr>
            <m:sty m:val="p"/>
          </m:rPr>
          <m:t>=</m:t>
        </m:r>
        <m:r>
          <m:t>1000</m:t>
        </m:r>
        <m:r>
          <m:rPr>
            <m:sty m:val="p"/>
          </m:rPr>
          <m:t>/</m:t>
        </m:r>
        <m:r>
          <m:t>n</m:t>
        </m:r>
      </m:oMath>
      <w:r>
        <w:t xml:space="preserve">，200 条示范对应 250 epoch、每 5 epoch 评测，共 50 个评测点[7]。</w:t>
      </w:r>
      <w:r>
        <w:rPr>
          <w:b/>
          <w:bCs/>
        </w:rPr>
        <w:t xml:space="preserve">每点 50 episodes 为本文固定研究参数</w:t>
      </w:r>
      <w:r>
        <w:t xml:space="preserve">；ManiSkill 的</w:t>
      </w:r>
      <w:r>
        <w:t xml:space="preserve"> </w:t>
      </w:r>
      <w:r>
        <w:rPr>
          <w:rStyle w:val="VerbatimChar"/>
        </w:rPr>
        <w:t xml:space="preserve">eval_freq=5000</w:t>
      </w:r>
      <w:r>
        <w:t xml:space="preserve">、</w:t>
      </w:r>
      <w:r>
        <w:rPr>
          <w:rStyle w:val="VerbatimChar"/>
        </w:rPr>
        <w:t xml:space="preserve">num_eval_episodes=100</w:t>
      </w:r>
      <w:r>
        <w:t xml:space="preserve"> </w:t>
      </w:r>
      <w:r>
        <w:t xml:space="preserve">来自官方视觉 Diffusion Policy baseline；PegInsertionSide 的视觉 DP 更新预算为本章参考同任务其他官方基线的明确设计选择。所有已验证源码版本、数据集版本和转换日志将在表3-1补全。</w:t>
      </w:r>
    </w:p>
    <w:bookmarkEnd w:id="57"/>
    <w:bookmarkStart w:id="58" w:name="深度示范生成与训练评测观测一致性"/>
    <w:p>
      <w:pPr>
        <w:pStyle w:val="Heading3"/>
      </w:pPr>
      <w:r>
        <w:t xml:space="preserve">3.6.2 深度示范生成与训练评测观测一致性</w:t>
      </w:r>
    </w:p>
    <w:p>
      <w:pPr>
        <w:pStyle w:val="FirstParagraph"/>
      </w:pPr>
      <w:r>
        <w:t xml:space="preserve">MimicGen 官方 Core 数据通常包含可以用于环境状态重放的轨迹；在实际下载版本允许的情况下，使用 robomimic 的</w:t>
      </w:r>
      <w:r>
        <w:t xml:space="preserve"> </w:t>
      </w:r>
      <w:r>
        <w:rPr>
          <w:rStyle w:val="VerbatimChar"/>
        </w:rPr>
        <w:t xml:space="preserve">dataset_states_to_obs.py --depth</w:t>
      </w:r>
      <w:r>
        <w:t xml:space="preserve"> </w:t>
      </w:r>
      <w:r>
        <w:t xml:space="preserve">由原始状态生成同帧 RGB 与 Depth。对</w:t>
      </w:r>
      <w:r>
        <w:t xml:space="preserve"> </w:t>
      </w:r>
      <w:r>
        <w:rPr>
          <w:rStyle w:val="VerbatimChar"/>
        </w:rPr>
        <w:t xml:space="preserve">agentview</w:t>
      </w:r>
      <w:r>
        <w:t xml:space="preserve">、</w:t>
      </w:r>
      <w:r>
        <w:rPr>
          <w:rStyle w:val="VerbatimChar"/>
        </w:rPr>
        <w:t xml:space="preserve">robot0_eye_in_hand</w:t>
      </w:r>
      <w:r>
        <w:t xml:space="preserve"> </w:t>
      </w:r>
      <w:r>
        <w:t xml:space="preserve">或对应的任务实际相机名，记录相机分辨率、深度类型、物理尺度、内外参、图像翻转及有效深度比例。对于 depth buffer，先根据 robosuite/仿真接口确认其单位，不允许将归一化渲染深度误当成米。实际数据是否具有绝对动作字段，需要以 HDF5 元数据和转换日志核定。</w:t>
      </w:r>
    </w:p>
    <w:p>
      <w:pPr>
        <w:pStyle w:val="BodyText"/>
      </w:pPr>
      <w:r>
        <w:t xml:space="preserve">ManiSkill 的原始示范可能不保存图像，需使用官方</w:t>
      </w:r>
      <w:r>
        <w:t xml:space="preserve"> </w:t>
      </w:r>
      <w:r>
        <w:rPr>
          <w:rStyle w:val="VerbatimChar"/>
        </w:rPr>
        <w:t xml:space="preserve">replay_trajectory</w:t>
      </w:r>
      <w:r>
        <w:t xml:space="preserve"> </w:t>
      </w:r>
      <w:r>
        <w:t xml:space="preserve">将 RGB-D、机器人状态和动作逐帧记录为训练输入。ManiSkill 支持</w:t>
      </w:r>
      <w:r>
        <w:t xml:space="preserve"> </w:t>
      </w:r>
      <w:r>
        <w:rPr>
          <w:rStyle w:val="VerbatimChar"/>
        </w:rPr>
        <w:t xml:space="preserve">rgb+depth</w:t>
      </w:r>
      <w:r>
        <w:t xml:space="preserve">/</w:t>
      </w:r>
      <w:r>
        <w:rPr>
          <w:rStyle w:val="VerbatimChar"/>
        </w:rPr>
        <w:t xml:space="preserve">rgbd</w:t>
      </w:r>
      <w:r>
        <w:t xml:space="preserve">，深度值需按照实际版本与传感器定义进行固定缩放，同时生成无效深度掩码。两类 Benchmark 在数据转换阶段均固定示范 ID、采样间隔、相机集合和控制模式。本文仅使用部署时可观测的 RGB、Depth 与本体状态训练策略；仿真对象实例分割和物体精确位姿只用于离线指标计算。</w:t>
      </w:r>
    </w:p>
    <w:bookmarkEnd w:id="58"/>
    <w:bookmarkStart w:id="59" w:name="对比算法与观测公平性"/>
    <w:p>
      <w:pPr>
        <w:pStyle w:val="Heading3"/>
      </w:pPr>
      <w:r>
        <w:t xml:space="preserve">3.6.3 对比算法与观测公平性</w:t>
      </w:r>
    </w:p>
    <w:p>
      <w:pPr>
        <w:pStyle w:val="FirstParagraph"/>
      </w:pPr>
      <w:r>
        <w:t xml:space="preserve">为评价所提方法的竞争力，除原始 CNN-DP 外引入 Transformer-DP、ACT、BC-RNN（或 LSTM-GMM）以及 DP3。在 2026 年 IJRR Equivariant Diffusion Policy 的 MimicGen 对比研究中，DiffPo-C、DiffPo-T、ACT、BC-RNN、DP3 分别作为不同类别的模仿学习参照，说明它们具有可借鉴的公开实验基础[7]。</w:t>
      </w:r>
    </w:p>
    <w:p>
      <w:pPr>
        <w:pStyle w:val="BodyText"/>
      </w:pPr>
      <w:r>
        <w:rPr>
          <w:b/>
          <w:bCs/>
        </w:rPr>
        <w:t xml:space="preserve">表3-4 主流模仿学习方法对比设计（成功率待填）</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方法</w:t>
            </w:r>
          </w:p>
        </w:tc>
        <w:tc>
          <w:tcPr/>
          <w:p>
            <w:pPr>
              <w:pStyle w:val="Compact"/>
              <w:jc w:val="left"/>
            </w:pPr>
            <w:r>
              <w:t xml:space="preserve">主要观测</w:t>
            </w:r>
          </w:p>
        </w:tc>
        <w:tc>
          <w:tcPr/>
          <w:p>
            <w:pPr>
              <w:pStyle w:val="Compact"/>
              <w:jc w:val="left"/>
            </w:pPr>
            <w:r>
              <w:t xml:space="preserve">预测机制</w:t>
            </w:r>
          </w:p>
        </w:tc>
        <w:tc>
          <w:tcPr/>
          <w:p>
            <w:pPr>
              <w:pStyle w:val="Compact"/>
              <w:jc w:val="left"/>
            </w:pPr>
            <w:r>
              <w:t xml:space="preserve">在本章回答的问题</w:t>
            </w:r>
          </w:p>
        </w:tc>
        <w:tc>
          <w:tcPr/>
          <w:p>
            <w:pPr>
              <w:pStyle w:val="Compact"/>
              <w:jc w:val="left"/>
            </w:pPr>
            <w:r>
              <w:t xml:space="preserve">Best SR</w:t>
            </w:r>
          </w:p>
        </w:tc>
        <w:tc>
          <w:tcPr/>
          <w:p>
            <w:pPr>
              <w:pStyle w:val="Compact"/>
              <w:jc w:val="left"/>
            </w:pPr>
            <w:r>
              <w:t xml:space="preserve">Last-10 SR</w:t>
            </w:r>
          </w:p>
        </w:tc>
      </w:tr>
      <w:tr>
        <w:tc>
          <w:tcPr/>
          <w:p>
            <w:pPr>
              <w:pStyle w:val="Compact"/>
              <w:jc w:val="left"/>
            </w:pPr>
            <w:r>
              <w:t xml:space="preserve">CNN-DP</w:t>
            </w:r>
          </w:p>
        </w:tc>
        <w:tc>
          <w:tcPr/>
          <w:p>
            <w:pPr>
              <w:pStyle w:val="Compact"/>
              <w:jc w:val="left"/>
            </w:pPr>
            <w:r>
              <w:t xml:space="preserve">RGB</w:t>
            </w:r>
          </w:p>
        </w:tc>
        <w:tc>
          <w:tcPr/>
          <w:p>
            <w:pPr>
              <w:pStyle w:val="Compact"/>
              <w:jc w:val="left"/>
            </w:pPr>
            <w:r>
              <w:t xml:space="preserve">条件一维 U-Net 动作扩散</w:t>
            </w:r>
          </w:p>
        </w:tc>
        <w:tc>
          <w:tcPr/>
          <w:p>
            <w:pPr>
              <w:pStyle w:val="Compact"/>
              <w:jc w:val="left"/>
            </w:pPr>
            <w:r>
              <w:t xml:space="preserve">直接基线</w:t>
            </w:r>
          </w:p>
        </w:tc>
        <w:tc>
          <w:tcPr/>
          <w:p>
            <w:pPr>
              <w:pStyle w:val="Compact"/>
              <w:jc w:val="left"/>
            </w:pPr>
            <w:r>
              <w:t xml:space="preserve">待填</w:t>
            </w:r>
          </w:p>
        </w:tc>
        <w:tc>
          <w:tcPr/>
          <w:p>
            <w:pPr>
              <w:pStyle w:val="Compact"/>
              <w:jc w:val="left"/>
            </w:pPr>
            <w:r>
              <w:t xml:space="preserve">待填</w:t>
            </w:r>
          </w:p>
        </w:tc>
      </w:tr>
      <w:tr>
        <w:tc>
          <w:tcPr/>
          <w:p>
            <w:pPr>
              <w:pStyle w:val="Compact"/>
              <w:jc w:val="left"/>
            </w:pPr>
            <w:r>
              <w:t xml:space="preserve">RGB-D CNN-DP</w:t>
            </w:r>
          </w:p>
        </w:tc>
        <w:tc>
          <w:tcPr/>
          <w:p>
            <w:pPr>
              <w:pStyle w:val="Compact"/>
              <w:jc w:val="left"/>
            </w:pPr>
            <w:r>
              <w:t xml:space="preserve">RGB-D</w:t>
            </w:r>
          </w:p>
        </w:tc>
        <w:tc>
          <w:tcPr/>
          <w:p>
            <w:pPr>
              <w:pStyle w:val="Compact"/>
              <w:jc w:val="left"/>
            </w:pPr>
            <w:r>
              <w:t xml:space="preserve">相同条件一维 U-Net</w:t>
            </w:r>
          </w:p>
        </w:tc>
        <w:tc>
          <w:tcPr/>
          <w:p>
            <w:pPr>
              <w:pStyle w:val="Compact"/>
              <w:jc w:val="left"/>
            </w:pPr>
            <w:r>
              <w:t xml:space="preserve">单纯新增深度的收益</w:t>
            </w:r>
          </w:p>
        </w:tc>
        <w:tc>
          <w:tcPr/>
          <w:p>
            <w:pPr>
              <w:pStyle w:val="Compact"/>
              <w:jc w:val="left"/>
            </w:pPr>
            <w:r>
              <w:t xml:space="preserve">待填</w:t>
            </w:r>
          </w:p>
        </w:tc>
        <w:tc>
          <w:tcPr/>
          <w:p>
            <w:pPr>
              <w:pStyle w:val="Compact"/>
              <w:jc w:val="left"/>
            </w:pPr>
            <w:r>
              <w:t xml:space="preserve">待填</w:t>
            </w:r>
          </w:p>
        </w:tc>
      </w:tr>
      <w:tr>
        <w:tc>
          <w:tcPr/>
          <w:p>
            <w:pPr>
              <w:pStyle w:val="Compact"/>
              <w:jc w:val="left"/>
            </w:pPr>
            <w:r>
              <w:t xml:space="preserve">Transformer-DP</w:t>
            </w:r>
          </w:p>
        </w:tc>
        <w:tc>
          <w:tcPr/>
          <w:p>
            <w:pPr>
              <w:pStyle w:val="Compact"/>
              <w:jc w:val="left"/>
            </w:pPr>
            <w:r>
              <w:t xml:space="preserve">RGB</w:t>
            </w:r>
          </w:p>
        </w:tc>
        <w:tc>
          <w:tcPr/>
          <w:p>
            <w:pPr>
              <w:pStyle w:val="Compact"/>
              <w:jc w:val="left"/>
            </w:pPr>
            <w:r>
              <w:t xml:space="preserve">Transformer 动作扩散</w:t>
            </w:r>
          </w:p>
        </w:tc>
        <w:tc>
          <w:tcPr/>
          <w:p>
            <w:pPr>
              <w:pStyle w:val="Compact"/>
              <w:jc w:val="left"/>
            </w:pPr>
            <w:r>
              <w:t xml:space="preserve">去噪骨干变化是否更有效</w:t>
            </w:r>
          </w:p>
        </w:tc>
        <w:tc>
          <w:tcPr/>
          <w:p>
            <w:pPr>
              <w:pStyle w:val="Compact"/>
              <w:jc w:val="left"/>
            </w:pPr>
            <w:r>
              <w:t xml:space="preserve">待填</w:t>
            </w:r>
          </w:p>
        </w:tc>
        <w:tc>
          <w:tcPr/>
          <w:p>
            <w:pPr>
              <w:pStyle w:val="Compact"/>
              <w:jc w:val="left"/>
            </w:pPr>
            <w:r>
              <w:t xml:space="preserve">待填</w:t>
            </w:r>
          </w:p>
        </w:tc>
      </w:tr>
      <w:tr>
        <w:tc>
          <w:tcPr/>
          <w:p>
            <w:pPr>
              <w:pStyle w:val="Compact"/>
              <w:jc w:val="left"/>
            </w:pPr>
            <w:r>
              <w:t xml:space="preserve">ACT</w:t>
            </w:r>
          </w:p>
        </w:tc>
        <w:tc>
          <w:tcPr/>
          <w:p>
            <w:pPr>
              <w:pStyle w:val="Compact"/>
              <w:jc w:val="left"/>
            </w:pPr>
            <w:r>
              <w:t xml:space="preserve">RGB</w:t>
            </w:r>
          </w:p>
        </w:tc>
        <w:tc>
          <w:tcPr/>
          <w:p>
            <w:pPr>
              <w:pStyle w:val="Compact"/>
              <w:jc w:val="left"/>
            </w:pPr>
            <w:r>
              <w:t xml:space="preserve">Transformer + CVAE 动作块</w:t>
            </w:r>
          </w:p>
        </w:tc>
        <w:tc>
          <w:tcPr/>
          <w:p>
            <w:pPr>
              <w:pStyle w:val="Compact"/>
              <w:jc w:val="left"/>
            </w:pPr>
            <w:r>
              <w:t xml:space="preserve">非扩散行为克隆竞争力</w:t>
            </w:r>
          </w:p>
        </w:tc>
        <w:tc>
          <w:tcPr/>
          <w:p>
            <w:pPr>
              <w:pStyle w:val="Compact"/>
              <w:jc w:val="left"/>
            </w:pPr>
            <w:r>
              <w:t xml:space="preserve">待填</w:t>
            </w:r>
          </w:p>
        </w:tc>
        <w:tc>
          <w:tcPr/>
          <w:p>
            <w:pPr>
              <w:pStyle w:val="Compact"/>
              <w:jc w:val="left"/>
            </w:pPr>
            <w:r>
              <w:t xml:space="preserve">待填</w:t>
            </w:r>
          </w:p>
        </w:tc>
      </w:tr>
      <w:tr>
        <w:tc>
          <w:tcPr/>
          <w:p>
            <w:pPr>
              <w:pStyle w:val="Compact"/>
              <w:jc w:val="left"/>
            </w:pPr>
            <w:r>
              <w:t xml:space="preserve">BC-RNN</w:t>
            </w:r>
          </w:p>
        </w:tc>
        <w:tc>
          <w:tcPr/>
          <w:p>
            <w:pPr>
              <w:pStyle w:val="Compact"/>
              <w:jc w:val="left"/>
            </w:pPr>
            <w:r>
              <w:t xml:space="preserve">RGB</w:t>
            </w:r>
          </w:p>
        </w:tc>
        <w:tc>
          <w:tcPr/>
          <w:p>
            <w:pPr>
              <w:pStyle w:val="Compact"/>
              <w:jc w:val="left"/>
            </w:pPr>
            <w:r>
              <w:t xml:space="preserve">RNN / GMM 动作预测</w:t>
            </w:r>
          </w:p>
        </w:tc>
        <w:tc>
          <w:tcPr/>
          <w:p>
            <w:pPr>
              <w:pStyle w:val="Compact"/>
              <w:jc w:val="left"/>
            </w:pPr>
            <w:r>
              <w:t xml:space="preserve">经典序列行为克隆性能</w:t>
            </w:r>
          </w:p>
        </w:tc>
        <w:tc>
          <w:tcPr/>
          <w:p>
            <w:pPr>
              <w:pStyle w:val="Compact"/>
              <w:jc w:val="left"/>
            </w:pPr>
            <w:r>
              <w:t xml:space="preserve">待填</w:t>
            </w:r>
          </w:p>
        </w:tc>
        <w:tc>
          <w:tcPr/>
          <w:p>
            <w:pPr>
              <w:pStyle w:val="Compact"/>
              <w:jc w:val="left"/>
            </w:pPr>
            <w:r>
              <w:t xml:space="preserve">待填</w:t>
            </w:r>
          </w:p>
        </w:tc>
      </w:tr>
      <w:tr>
        <w:tc>
          <w:tcPr/>
          <w:p>
            <w:pPr>
              <w:pStyle w:val="Compact"/>
              <w:jc w:val="left"/>
            </w:pPr>
            <w:r>
              <w:t xml:space="preserve">DP3</w:t>
            </w:r>
          </w:p>
        </w:tc>
        <w:tc>
          <w:tcPr/>
          <w:p>
            <w:pPr>
              <w:pStyle w:val="Compact"/>
              <w:jc w:val="left"/>
            </w:pPr>
            <w:r>
              <w:t xml:space="preserve">同相机 Depth 反投影点云</w:t>
            </w:r>
          </w:p>
        </w:tc>
        <w:tc>
          <w:tcPr/>
          <w:p>
            <w:pPr>
              <w:pStyle w:val="Compact"/>
              <w:jc w:val="left"/>
            </w:pPr>
            <w:r>
              <w:t xml:space="preserve">点云编码 + 动作扩散</w:t>
            </w:r>
          </w:p>
        </w:tc>
        <w:tc>
          <w:tcPr/>
          <w:p>
            <w:pPr>
              <w:pStyle w:val="Compact"/>
              <w:jc w:val="left"/>
            </w:pPr>
            <w:r>
              <w:t xml:space="preserve">显式三维感知竞争方法</w:t>
            </w:r>
          </w:p>
        </w:tc>
        <w:tc>
          <w:tcPr/>
          <w:p>
            <w:pPr>
              <w:pStyle w:val="Compact"/>
              <w:jc w:val="left"/>
            </w:pPr>
            <w:r>
              <w:t xml:space="preserve">待填</w:t>
            </w:r>
          </w:p>
        </w:tc>
        <w:tc>
          <w:tcPr/>
          <w:p>
            <w:pPr>
              <w:pStyle w:val="Compact"/>
              <w:jc w:val="left"/>
            </w:pPr>
            <w:r>
              <w:t xml:space="preserve">待填</w:t>
            </w:r>
          </w:p>
        </w:tc>
      </w:tr>
      <w:tr>
        <w:tc>
          <w:tcPr/>
          <w:p>
            <w:pPr>
              <w:pStyle w:val="Compact"/>
              <w:jc w:val="left"/>
            </w:pPr>
            <w:r>
              <w:t xml:space="preserve">GSC-DP</w:t>
            </w:r>
          </w:p>
        </w:tc>
        <w:tc>
          <w:tcPr/>
          <w:p>
            <w:pPr>
              <w:pStyle w:val="Compact"/>
              <w:jc w:val="left"/>
            </w:pPr>
            <w:r>
              <w:t xml:space="preserve">RGB-D</w:t>
            </w:r>
          </w:p>
        </w:tc>
        <w:tc>
          <w:tcPr/>
          <w:p>
            <w:pPr>
              <w:pStyle w:val="Compact"/>
              <w:jc w:val="left"/>
            </w:pPr>
            <w:r>
              <w:t xml:space="preserve">GSA + 几何 Token + 一维 U-Net</w:t>
            </w:r>
          </w:p>
        </w:tc>
        <w:tc>
          <w:tcPr/>
          <w:p>
            <w:pPr>
              <w:pStyle w:val="Compact"/>
              <w:jc w:val="left"/>
            </w:pPr>
            <w:r>
              <w:t xml:space="preserve">本文方法整体有效性</w:t>
            </w:r>
          </w:p>
        </w:tc>
        <w:tc>
          <w:tcPr/>
          <w:p>
            <w:pPr>
              <w:pStyle w:val="Compact"/>
              <w:jc w:val="left"/>
            </w:pPr>
            <w:r>
              <w:t xml:space="preserve">待填</w:t>
            </w:r>
          </w:p>
        </w:tc>
        <w:tc>
          <w:tcPr/>
          <w:p>
            <w:pPr>
              <w:pStyle w:val="Compact"/>
              <w:jc w:val="left"/>
            </w:pPr>
            <w:r>
              <w:t xml:space="preserve">待填</w:t>
            </w:r>
          </w:p>
        </w:tc>
      </w:tr>
    </w:tbl>
    <w:p>
      <w:pPr>
        <w:pStyle w:val="BodyText"/>
      </w:pPr>
      <w:r>
        <w:t xml:space="preserve">为保证信息输入公平，DP3 只能使用与 GSC-DP 相同视角的深度及标定得到的点云，不额外提供完整场景真值点云、对象 GT 位姿或新的相机。ACT、BC-RNN、DP3 采用其原论文/公开实现的合理动作预测长度与优化超参数，不能因形式上的一致而修改其核心方法；同时公开各自的历史观测长度、动作维度、执行步长、控制语义和参数量。比较结论须区分“相同 RGB 输入策略”和“额外几何输入策略”。</w:t>
      </w:r>
    </w:p>
    <w:bookmarkEnd w:id="59"/>
    <w:bookmarkStart w:id="60" w:name="训练种子周期性-checkpoint-与成功率统计"/>
    <w:p>
      <w:pPr>
        <w:pStyle w:val="Heading3"/>
      </w:pPr>
      <w:r>
        <w:t xml:space="preserve">3.6.4 训练种子、周期性 checkpoint 与成功率统计</w:t>
      </w:r>
    </w:p>
    <w:p>
      <w:pPr>
        <w:pStyle w:val="FirstParagraph"/>
      </w:pPr>
      <w:r>
        <w:t xml:space="preserve">所有方法使用三个独立训练随机种子</w:t>
      </w:r>
      <w:r>
        <w:t xml:space="preserve"> </w:t>
      </w:r>
      <m:oMath>
        <m:r>
          <m:t>s</m:t>
        </m:r>
        <m:r>
          <m:rPr>
            <m:sty m:val="p"/>
          </m:rPr>
          <m:t>∈</m:t>
        </m:r>
        <m:r>
          <m:rPr>
            <m:sty m:val="p"/>
          </m:rPr>
          <m:t>{</m:t>
        </m:r>
        <m:r>
          <m:t>0</m:t>
        </m:r>
        <m:r>
          <m:rPr>
            <m:sty m:val="p"/>
          </m:rPr>
          <m:t>,</m:t>
        </m:r>
        <m:r>
          <m:t>1</m:t>
        </m:r>
        <m:r>
          <m:rPr>
            <m:sty m:val="p"/>
          </m:rPr>
          <m:t>,</m:t>
        </m:r>
        <m:r>
          <m:t>2</m:t>
        </m:r>
        <m:r>
          <m:rPr>
            <m:sty m:val="p"/>
          </m:rPr>
          <m:t>}</m:t>
        </m:r>
      </m:oMath>
      <w:r>
        <w:t xml:space="preserve">，同一任务内共享相同示范数据 manifest 和固定的评测环境 reset 集合。MimicGen 按</w:t>
      </w:r>
      <w:r>
        <w:t xml:space="preserve"> </w:t>
      </w:r>
      <m:oMath>
        <m:r>
          <m:t>e</m:t>
        </m:r>
        <m:r>
          <m:rPr>
            <m:sty m:val="p"/>
          </m:rPr>
          <m:t>=</m:t>
        </m:r>
        <m:r>
          <m:t>5</m:t>
        </m:r>
        <m:r>
          <m:rPr>
            <m:sty m:val="p"/>
          </m:rPr>
          <m:t>,</m:t>
        </m:r>
        <m:r>
          <m:t>10</m:t>
        </m:r>
        <m:r>
          <m:rPr>
            <m:sty m:val="p"/>
          </m:rPr>
          <m:t>,</m:t>
        </m:r>
        <m:r>
          <m:rPr>
            <m:sty m:val="p"/>
          </m:rPr>
          <m:t>…</m:t>
        </m:r>
        <m:r>
          <m:rPr>
            <m:sty m:val="p"/>
          </m:rPr>
          <m:t>,</m:t>
        </m:r>
        <m:r>
          <m:t>250</m:t>
        </m:r>
      </m:oMath>
      <w:r>
        <w:t xml:space="preserve"> </w:t>
      </w:r>
      <w:r>
        <w:t xml:space="preserve">共 50 个保存点；ManiSkill 按</w:t>
      </w:r>
      <w:r>
        <w:t xml:space="preserve"> </w:t>
      </w:r>
      <m:oMath>
        <m:r>
          <m:t>i</m:t>
        </m:r>
        <m:r>
          <m:rPr>
            <m:sty m:val="p"/>
          </m:rPr>
          <m:t>=</m:t>
        </m:r>
        <m:r>
          <m:t>5000</m:t>
        </m:r>
        <m:r>
          <m:rPr>
            <m:sty m:val="p"/>
          </m:rPr>
          <m:t>,</m:t>
        </m:r>
        <m:r>
          <m:t>10000</m:t>
        </m:r>
        <m:r>
          <m:rPr>
            <m:sty m:val="p"/>
          </m:rPr>
          <m:t>,</m:t>
        </m:r>
        <m:r>
          <m:rPr>
            <m:sty m:val="p"/>
          </m:rPr>
          <m:t>…</m:t>
        </m:r>
        <m:r>
          <m:rPr>
            <m:sty m:val="p"/>
          </m:rPr>
          <m:t>,</m:t>
        </m:r>
        <m:r>
          <m:t>100000</m:t>
        </m:r>
      </m:oMath>
      <w:r>
        <w:t xml:space="preserve"> </w:t>
      </w:r>
      <w:r>
        <w:t xml:space="preserve">共 20 个保存点。所有正式闭环评测均由独立进程从已经保存并校验的 checkpoint 加载，训练和评测可以在 H200 空闲资源允许时并发调度，但不对尚未写入磁盘的内存态权重直接评测。</w:t>
      </w:r>
    </w:p>
    <w:p>
      <w:pPr>
        <w:pStyle w:val="BodyText"/>
      </w:pPr>
      <w:r>
        <w:t xml:space="preserve">对任务</w:t>
      </w:r>
      <w:r>
        <w:t xml:space="preserve"> </w:t>
      </w:r>
      <m:oMath>
        <m:r>
          <m:t>q</m:t>
        </m:r>
      </m:oMath>
      <w:r>
        <w:t xml:space="preserve">、方法</w:t>
      </w:r>
      <w:r>
        <w:t xml:space="preserve"> </w:t>
      </w:r>
      <m:oMath>
        <m:r>
          <m:t>m</m:t>
        </m:r>
      </m:oMath>
      <w:r>
        <w:t xml:space="preserve">、种子</w:t>
      </w:r>
      <w:r>
        <w:t xml:space="preserve"> </w:t>
      </w:r>
      <m:oMath>
        <m:r>
          <m:t>s</m:t>
        </m:r>
      </m:oMath>
      <w:r>
        <w:t xml:space="preserve"> </w:t>
      </w:r>
      <w:r>
        <w:t xml:space="preserve">和保存点</w:t>
      </w:r>
      <w:r>
        <w:t xml:space="preserve"> </w:t>
      </w:r>
      <m:oMath>
        <m:r>
          <m:t>k</m:t>
        </m:r>
      </m:oMath>
      <w:r>
        <w:t xml:space="preserve">，设成功 episode 数为</w:t>
      </w:r>
      <w:r>
        <w:t xml:space="preserve"> </w:t>
      </w:r>
      <m:oMath>
        <m:sSub>
          <m:e>
            <m:r>
              <m:t>x</m:t>
            </m:r>
          </m:e>
          <m:sub>
            <m:r>
              <m:t>m</m:t>
            </m:r>
            <m:r>
              <m:rPr>
                <m:sty m:val="p"/>
              </m:rPr>
              <m:t>,</m:t>
            </m:r>
            <m:r>
              <m:t>q</m:t>
            </m:r>
            <m:r>
              <m:rPr>
                <m:sty m:val="p"/>
              </m:rPr>
              <m:t>,</m:t>
            </m:r>
            <m:r>
              <m:t>s</m:t>
            </m:r>
            <m:r>
              <m:rPr>
                <m:sty m:val="p"/>
              </m:rPr>
              <m:t>,</m:t>
            </m:r>
            <m:r>
              <m:t>k</m:t>
            </m:r>
          </m:sub>
        </m:sSub>
      </m:oMath>
      <w:r>
        <w:t xml:space="preserve">，评测 episode 数为</w:t>
      </w:r>
      <w:r>
        <w:t xml:space="preserve"> </w:t>
      </w:r>
      <m:oMath>
        <m:sSub>
          <m:e>
            <m:r>
              <m:t>N</m:t>
            </m:r>
          </m:e>
          <m:sub>
            <m:r>
              <m:t>q</m:t>
            </m:r>
          </m:sub>
        </m:sSub>
      </m:oMath>
      <w:r>
        <w:t xml:space="preserve">，成功率定义为</w:t>
      </w:r>
    </w:p>
    <w:p>
      <w:pPr>
        <w:pStyle w:val="BodyText"/>
      </w:pPr>
      <m:oMathPara>
        <m:oMathParaPr>
          <m:jc m:val="center"/>
        </m:oMathParaPr>
        <m:oMath>
          <m:r>
            <m:t>S</m:t>
          </m:r>
          <m:sSub>
            <m:e>
              <m:r>
                <m:t>R</m:t>
              </m:r>
            </m:e>
            <m:sub>
              <m:r>
                <m:t>m</m:t>
              </m:r>
              <m:r>
                <m:rPr>
                  <m:sty m:val="p"/>
                </m:rPr>
                <m:t>,</m:t>
              </m:r>
              <m:r>
                <m:t>q</m:t>
              </m:r>
              <m:r>
                <m:rPr>
                  <m:sty m:val="p"/>
                </m:rPr>
                <m:t>,</m:t>
              </m:r>
              <m:r>
                <m:t>s</m:t>
              </m:r>
              <m:r>
                <m:rPr>
                  <m:sty m:val="p"/>
                </m:rPr>
                <m:t>,</m:t>
              </m:r>
              <m:r>
                <m:t>k</m:t>
              </m:r>
            </m:sub>
          </m:sSub>
          <m:r>
            <m:rPr>
              <m:sty m:val="p"/>
            </m:rPr>
            <m:t>=</m:t>
          </m:r>
          <m:f>
            <m:fPr>
              <m:type m:val="bar"/>
            </m:fPr>
            <m:num>
              <m:sSub>
                <m:e>
                  <m:r>
                    <m:t>x</m:t>
                  </m:r>
                </m:e>
                <m:sub>
                  <m:r>
                    <m:t>m</m:t>
                  </m:r>
                  <m:r>
                    <m:rPr>
                      <m:sty m:val="p"/>
                    </m:rPr>
                    <m:t>,</m:t>
                  </m:r>
                  <m:r>
                    <m:t>q</m:t>
                  </m:r>
                  <m:r>
                    <m:rPr>
                      <m:sty m:val="p"/>
                    </m:rPr>
                    <m:t>,</m:t>
                  </m:r>
                  <m:r>
                    <m:t>s</m:t>
                  </m:r>
                  <m:r>
                    <m:rPr>
                      <m:sty m:val="p"/>
                    </m:rPr>
                    <m:t>,</m:t>
                  </m:r>
                  <m:r>
                    <m:t>k</m:t>
                  </m:r>
                </m:sub>
              </m:sSub>
            </m:num>
            <m:den>
              <m:sSub>
                <m:e>
                  <m:r>
                    <m:t>N</m:t>
                  </m:r>
                </m:e>
                <m:sub>
                  <m:r>
                    <m:t>q</m:t>
                  </m:r>
                </m:sub>
              </m:sSub>
            </m:den>
          </m:f>
          <m:r>
            <m:rPr>
              <m:sty m:val="p"/>
            </m:rPr>
            <m:t>.</m:t>
          </m:r>
        </m:oMath>
      </m:oMathPara>
    </w:p>
    <w:p>
      <w:pPr>
        <w:pStyle w:val="FirstParagraph"/>
      </w:pPr>
      <w:r>
        <w:t xml:space="preserve">每个种子的最佳周期性成功率为</w:t>
      </w:r>
    </w:p>
    <w:p>
      <w:pPr>
        <w:pStyle w:val="BodyText"/>
      </w:pPr>
      <m:oMathPara>
        <m:oMathParaPr>
          <m:jc m:val="center"/>
        </m:oMathParaPr>
        <m:oMath>
          <m:r>
            <m:t>S</m:t>
          </m:r>
          <m:sSubSup>
            <m:e>
              <m:r>
                <m:t>R</m:t>
              </m:r>
            </m:e>
            <m:sub>
              <m:r>
                <m:t>m</m:t>
              </m:r>
              <m:r>
                <m:rPr>
                  <m:sty m:val="p"/>
                </m:rPr>
                <m:t>,</m:t>
              </m:r>
              <m:r>
                <m:t>q</m:t>
              </m:r>
              <m:r>
                <m:rPr>
                  <m:sty m:val="p"/>
                </m:rPr>
                <m:t>,</m:t>
              </m:r>
              <m:r>
                <m:t>s</m:t>
              </m:r>
            </m:sub>
            <m:sup>
              <m:r>
                <m:t>b</m:t>
              </m:r>
              <m:r>
                <m:t>e</m:t>
              </m:r>
              <m:r>
                <m:t>s</m:t>
              </m:r>
              <m:r>
                <m:t>t</m:t>
              </m:r>
            </m:sup>
          </m:sSubSup>
          <m:r>
            <m:rPr>
              <m:sty m:val="p"/>
            </m:rPr>
            <m:t>=</m:t>
          </m:r>
          <m:limLow>
            <m:e>
              <m:r>
                <m:rPr>
                  <m:sty m:val="p"/>
                </m:rPr>
                <m:t>max</m:t>
              </m:r>
            </m:e>
            <m:lim>
              <m:r>
                <m:t>k</m:t>
              </m:r>
              <m:r>
                <m:rPr>
                  <m:sty m:val="p"/>
                </m:rPr>
                <m:t>∈</m:t>
              </m:r>
              <m:sSub>
                <m:e>
                  <m:r>
                    <m:rPr>
                      <m:sty m:val="p"/>
                      <m:scr m:val="script"/>
                    </m:rPr>
                    <m:t>K</m:t>
                  </m:r>
                </m:e>
                <m:sub>
                  <m:r>
                    <m:t>q</m:t>
                  </m:r>
                </m:sub>
              </m:sSub>
            </m:lim>
          </m:limLow>
          <m:r>
            <m:t>S</m:t>
          </m:r>
          <m:sSub>
            <m:e>
              <m:r>
                <m:t>R</m:t>
              </m:r>
            </m:e>
            <m:sub>
              <m:r>
                <m:t>m</m:t>
              </m:r>
              <m:r>
                <m:rPr>
                  <m:sty m:val="p"/>
                </m:rPr>
                <m:t>,</m:t>
              </m:r>
              <m:r>
                <m:t>q</m:t>
              </m:r>
              <m:r>
                <m:rPr>
                  <m:sty m:val="p"/>
                </m:rPr>
                <m:t>,</m:t>
              </m:r>
              <m:r>
                <m:t>s</m:t>
              </m:r>
              <m:r>
                <m:rPr>
                  <m:sty m:val="p"/>
                </m:rPr>
                <m:t>,</m:t>
              </m:r>
              <m:r>
                <m:t>k</m:t>
              </m:r>
            </m:sub>
          </m:sSub>
          <m:r>
            <m:rPr>
              <m:sty m:val="p"/>
            </m:rPr>
            <m:t>.</m:t>
          </m:r>
        </m:oMath>
      </m:oMathPara>
    </w:p>
    <w:p>
      <w:pPr>
        <w:pStyle w:val="FirstParagraph"/>
      </w:pPr>
      <w:r>
        <w:t xml:space="preserve">训练末期十个</w:t>
      </w:r>
      <w:r>
        <w:rPr>
          <w:b/>
          <w:bCs/>
        </w:rPr>
        <w:t xml:space="preserve">连续</w:t>
      </w:r>
      <w:r>
        <w:t xml:space="preserve">保存点平均成功率为</w:t>
      </w:r>
    </w:p>
    <w:p>
      <w:pPr>
        <w:pStyle w:val="BodyText"/>
      </w:pPr>
      <m:oMathPara>
        <m:oMathParaPr>
          <m:jc m:val="center"/>
        </m:oMathParaPr>
        <m:oMath>
          <m:r>
            <m:t>S</m:t>
          </m:r>
          <m:sSubSup>
            <m:e>
              <m:r>
                <m:t>R</m:t>
              </m:r>
            </m:e>
            <m:sub>
              <m:r>
                <m:t>m</m:t>
              </m:r>
              <m:r>
                <m:rPr>
                  <m:sty m:val="p"/>
                </m:rPr>
                <m:t>,</m:t>
              </m:r>
              <m:r>
                <m:t>q</m:t>
              </m:r>
              <m:r>
                <m:rPr>
                  <m:sty m:val="p"/>
                </m:rPr>
                <m:t>,</m:t>
              </m:r>
              <m:r>
                <m:t>s</m:t>
              </m:r>
            </m:sub>
            <m:sup>
              <m:r>
                <m:t>l</m:t>
              </m:r>
              <m:r>
                <m:t>a</m:t>
              </m:r>
              <m:r>
                <m:t>s</m:t>
              </m:r>
              <m:r>
                <m:t>t</m:t>
              </m:r>
              <m:r>
                <m:t>10</m:t>
              </m:r>
            </m:sup>
          </m:sSubSup>
          <m:r>
            <m:rPr>
              <m:sty m:val="p"/>
            </m:rPr>
            <m:t>=</m:t>
          </m:r>
          <m:f>
            <m:fPr>
              <m:type m:val="bar"/>
            </m:fPr>
            <m:num>
              <m:r>
                <m:t>1</m:t>
              </m:r>
            </m:num>
            <m:den>
              <m:r>
                <m:t>10</m:t>
              </m:r>
            </m:den>
          </m:f>
          <m:nary>
            <m:naryPr>
              <m:chr m:val="∑"/>
              <m:limLoc m:val="undOvr"/>
              <m:subHide m:val="off"/>
              <m:supHide m:val="on"/>
            </m:naryPr>
            <m:sub>
              <m:r>
                <m:t>k</m:t>
              </m:r>
              <m:r>
                <m:rPr>
                  <m:sty m:val="p"/>
                </m:rPr>
                <m:t>∈</m:t>
              </m:r>
              <m:sSubSup>
                <m:e>
                  <m:r>
                    <m:rPr>
                      <m:sty m:val="p"/>
                      <m:scr m:val="script"/>
                    </m:rPr>
                    <m:t>K</m:t>
                  </m:r>
                </m:e>
                <m:sub>
                  <m:r>
                    <m:t>q</m:t>
                  </m:r>
                </m:sub>
                <m:sup>
                  <m:r>
                    <m:t>l</m:t>
                  </m:r>
                  <m:r>
                    <m:t>a</m:t>
                  </m:r>
                  <m:r>
                    <m:t>s</m:t>
                  </m:r>
                  <m:r>
                    <m:t>t</m:t>
                  </m:r>
                  <m:r>
                    <m:t>10</m:t>
                  </m:r>
                </m:sup>
              </m:sSubSup>
            </m:sub>
            <m:sup>
              <m:r>
                <m:t>​</m:t>
              </m:r>
            </m:sup>
            <m:e>
              <m:r>
                <m:t>S</m:t>
              </m:r>
            </m:e>
          </m:nary>
          <m:sSub>
            <m:e>
              <m:r>
                <m:t>R</m:t>
              </m:r>
            </m:e>
            <m:sub>
              <m:r>
                <m:t>m</m:t>
              </m:r>
              <m:r>
                <m:rPr>
                  <m:sty m:val="p"/>
                </m:rPr>
                <m:t>,</m:t>
              </m:r>
              <m:r>
                <m:t>q</m:t>
              </m:r>
              <m:r>
                <m:rPr>
                  <m:sty m:val="p"/>
                </m:rPr>
                <m:t>,</m:t>
              </m:r>
              <m:r>
                <m:t>s</m:t>
              </m:r>
              <m:r>
                <m:rPr>
                  <m:sty m:val="p"/>
                </m:rPr>
                <m:t>,</m:t>
              </m:r>
              <m:r>
                <m:t>k</m:t>
              </m:r>
            </m:sub>
          </m:sSub>
          <m:r>
            <m:rPr>
              <m:sty m:val="p"/>
            </m:rPr>
            <m:t>.</m:t>
          </m:r>
        </m:oMath>
      </m:oMathPara>
    </w:p>
    <w:p>
      <w:pPr>
        <w:pStyle w:val="FirstParagraph"/>
      </w:pPr>
      <w:r>
        <w:t xml:space="preserve">其中</w:t>
      </w:r>
      <w:r>
        <w:t xml:space="preserve"> </w:t>
      </w:r>
      <m:oMath>
        <m:sSubSup>
          <m:e>
            <m:r>
              <m:rPr>
                <m:sty m:val="p"/>
                <m:scr m:val="script"/>
              </m:rPr>
              <m:t>K</m:t>
            </m:r>
          </m:e>
          <m:sub>
            <m:r>
              <m:t>q</m:t>
            </m:r>
          </m:sub>
          <m:sup>
            <m:r>
              <m:t>l</m:t>
            </m:r>
            <m:r>
              <m:t>a</m:t>
            </m:r>
            <m:r>
              <m:t>s</m:t>
            </m:r>
            <m:r>
              <m:t>t</m:t>
            </m:r>
            <m:r>
              <m:t>10</m:t>
            </m:r>
          </m:sup>
        </m:sSubSup>
      </m:oMath>
      <w:r>
        <w:t xml:space="preserve"> </w:t>
      </w:r>
      <w:r>
        <w:t xml:space="preserve">是按训练进度排序后最后十个规定评测点，并非所有保存点中成功率最高的十个。跨三个训练种子报告</w:t>
      </w:r>
      <w:r>
        <w:t xml:space="preserve"> </w:t>
      </w:r>
      <m:oMath>
        <m:bar>
          <m:barPr>
            <m:pos m:val="top"/>
          </m:barPr>
          <m:e>
            <m:r>
              <m:t>S</m:t>
            </m:r>
            <m:r>
              <m:t>R</m:t>
            </m:r>
          </m:e>
        </m:bar>
        <m:r>
          <m:rPr>
            <m:sty m:val="p"/>
          </m:rPr>
          <m:t>=</m:t>
        </m:r>
        <m:f>
          <m:fPr>
            <m:type m:val="bar"/>
          </m:fPr>
          <m:num>
            <m:r>
              <m:t>1</m:t>
            </m:r>
          </m:num>
          <m:den>
            <m:r>
              <m:t>3</m:t>
            </m:r>
          </m:den>
        </m:f>
        <m:nary>
          <m:naryPr>
            <m:chr m:val="∑"/>
            <m:limLoc m:val="undOvr"/>
            <m:subHide m:val="off"/>
            <m:supHide m:val="on"/>
          </m:naryPr>
          <m:sub>
            <m:r>
              <m:t>s</m:t>
            </m:r>
          </m:sub>
          <m:sup>
            <m:r>
              <m:t>​</m:t>
            </m:r>
          </m:sup>
          <m:e>
            <m:r>
              <m:t>S</m:t>
            </m:r>
          </m:e>
        </m:nary>
        <m:sSub>
          <m:e>
            <m:r>
              <m:t>R</m:t>
            </m:r>
          </m:e>
          <m:sub>
            <m:r>
              <m:t>s</m:t>
            </m:r>
          </m:sub>
        </m:sSub>
      </m:oMath>
      <w:r>
        <w:t xml:space="preserve"> </w:t>
      </w:r>
      <w:r>
        <w:t xml:space="preserve">和样本标准差。最佳值存在多次评测择优产生的统计上偏倾向，因此本章明确将其命名为“Best Periodic Rollout SR”，并同步给出 Last-10 和原始逐 episode 结果，不将其称为独立留出测试集的无偏结果。</w:t>
      </w:r>
    </w:p>
    <w:p>
      <w:pPr>
        <w:pStyle w:val="BodyText"/>
      </w:pPr>
      <w:r>
        <w:t xml:space="preserve">ManiSkill 以官方</w:t>
      </w:r>
      <w:r>
        <w:t xml:space="preserve"> </w:t>
      </w:r>
      <w:r>
        <w:rPr>
          <w:rStyle w:val="VerbatimChar"/>
        </w:rPr>
        <w:t xml:space="preserve">success_at_end</w:t>
      </w:r>
      <w:r>
        <w:t xml:space="preserve"> </w:t>
      </w:r>
      <w:r>
        <w:t xml:space="preserve">为主指标，同时保留</w:t>
      </w:r>
      <w:r>
        <w:t xml:space="preserve"> </w:t>
      </w:r>
      <w:r>
        <w:rPr>
          <w:rStyle w:val="VerbatimChar"/>
        </w:rPr>
        <w:t xml:space="preserve">success_once</w:t>
      </w:r>
      <w:r>
        <w:t xml:space="preserve">；MimicGen 采用官方任务成功判断。两类 Benchmark 的成功率定义和训练横坐标不同，分表报告，不合成缺乏意义的单一平均数。所有方法必须使用相同的评测初始状态集合，不能针对性能差的模型独立补充评测次数。</w:t>
      </w:r>
    </w:p>
    <w:bookmarkEnd w:id="60"/>
    <w:bookmarkStart w:id="61" w:name="主实验不同模仿学习策略成功率"/>
    <w:p>
      <w:pPr>
        <w:pStyle w:val="Heading3"/>
      </w:pPr>
      <w:r>
        <w:t xml:space="preserve">3.6.5 主实验：不同模仿学习策略成功率</w:t>
      </w:r>
    </w:p>
    <w:p>
      <w:pPr>
        <w:pStyle w:val="FirstParagraph"/>
      </w:pPr>
      <w:r>
        <w:t xml:space="preserve">对每个任务分别绘制七种方法的 Best SR 和 Last-10 SR，并配合 3 种子误差棒。本节结果应回答：本文方法相比经典视觉模仿学习策略是否具有优势；与使用同样 RGB-D 信息的四通道 CNN-DP、使用三维点云的 DP3 相比，有没有更有效的几何条件组织方式。</w:t>
      </w:r>
    </w:p>
    <w:p>
      <w:pPr>
        <w:pStyle w:val="BodyText"/>
      </w:pPr>
      <w:r>
        <w:rPr>
          <w:b/>
          <w:bCs/>
        </w:rPr>
        <w:t xml:space="preserve">图3-8 不同视觉模仿学习方法在 MimicGen/ManiSkill 各任务上的 Best 成功率（待实测生成）</w:t>
      </w:r>
    </w:p>
    <w:p>
      <w:pPr>
        <w:pStyle w:val="BodyText"/>
      </w:pPr>
      <w:r>
        <w:rPr>
          <w:b/>
          <w:bCs/>
        </w:rPr>
        <w:t xml:space="preserve">图3-9 训练末期 Last-10 成功率与方法间稳定性比较（待实测生成）</w:t>
      </w:r>
    </w:p>
    <w:p>
      <w:pPr>
        <w:pStyle w:val="BodyText"/>
      </w:pPr>
      <w:r>
        <w:t xml:space="preserve">结果分析将按“总体任务表现—几何敏感任务—输入模态差异—模型运行代价”的顺序开展。例如，若完整方法在 Threading/PegInsertion 显示更明显的收益，可与空间对准误差的变化共同分析；若在某一任务下降，应保留负结果并讨论其任务特性，不因与预设故事不一致而删去。</w:t>
      </w:r>
    </w:p>
    <w:bookmarkEnd w:id="61"/>
    <w:bookmarkStart w:id="62" w:name="核心模块独立贡献与交互效应"/>
    <w:p>
      <w:pPr>
        <w:pStyle w:val="Heading3"/>
      </w:pPr>
      <w:r>
        <w:t xml:space="preserve">3.6.6 核心模块独立贡献与交互效应</w:t>
      </w:r>
    </w:p>
    <w:p>
      <w:pPr>
        <w:pStyle w:val="FirstParagraph"/>
      </w:pPr>
      <w:r>
        <w:t xml:space="preserve">为了区分深度、普通注意力、GSA 及 TokenLearner 的贡献，定义 E0–E7 实验组。</w:t>
      </w:r>
    </w:p>
    <w:p>
      <w:pPr>
        <w:pStyle w:val="BodyText"/>
      </w:pPr>
      <w:r>
        <w:rPr>
          <w:b/>
          <w:bCs/>
        </w:rPr>
        <w:t xml:space="preserve">表3-5 模块消融实验矩阵（成功率待填）</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RGB</w:t>
            </w:r>
          </w:p>
        </w:tc>
        <w:tc>
          <w:tcPr/>
          <w:p>
            <w:pPr>
              <w:pStyle w:val="Compact"/>
              <w:jc w:val="left"/>
            </w:pPr>
            <w:r>
              <w:t xml:space="preserve">深度使用方式</w:t>
            </w:r>
          </w:p>
        </w:tc>
        <w:tc>
          <w:tcPr/>
          <w:p>
            <w:pPr>
              <w:pStyle w:val="Compact"/>
              <w:jc w:val="left"/>
            </w:pPr>
            <w:r>
              <w:t xml:space="preserve">注意力模块</w:t>
            </w:r>
          </w:p>
        </w:tc>
        <w:tc>
          <w:tcPr/>
          <w:p>
            <w:pPr>
              <w:pStyle w:val="Compact"/>
              <w:jc w:val="left"/>
            </w:pPr>
            <w:r>
              <w:t xml:space="preserve">空间 Token</w:t>
            </w:r>
          </w:p>
        </w:tc>
        <w:tc>
          <w:tcPr/>
          <w:p>
            <w:pPr>
              <w:pStyle w:val="Compact"/>
              <w:jc w:val="left"/>
            </w:pPr>
            <w:r>
              <w:t xml:space="preserve">u/v/d/rho</w:t>
            </w:r>
          </w:p>
        </w:tc>
        <w:tc>
          <w:tcPr/>
          <w:p>
            <w:pPr>
              <w:pStyle w:val="Compact"/>
              <w:jc w:val="left"/>
            </w:pPr>
            <w:r>
              <w:t xml:space="preserve">目的</w:t>
            </w:r>
          </w:p>
        </w:tc>
      </w:tr>
      <w:tr>
        <w:tc>
          <w:tcPr/>
          <w:p>
            <w:pPr>
              <w:pStyle w:val="Compact"/>
              <w:jc w:val="left"/>
            </w:pPr>
            <w:r>
              <w:t xml:space="preserve">E0</w:t>
            </w:r>
          </w:p>
        </w:tc>
        <w:tc>
          <w:tcPr/>
          <w:p>
            <w:pPr>
              <w:pStyle w:val="Compact"/>
              <w:jc w:val="left"/>
            </w:pPr>
            <w:r>
              <w:t xml:space="preserve">是</w:t>
            </w:r>
          </w:p>
        </w:tc>
        <w:tc>
          <w:tcPr/>
          <w:p>
            <w:pPr>
              <w:pStyle w:val="Compact"/>
              <w:jc w:val="left"/>
            </w:pPr>
            <w:r>
              <w:t xml:space="preserve">无</w:t>
            </w:r>
          </w:p>
        </w:tc>
        <w:tc>
          <w:tcPr/>
          <w:p>
            <w:pPr>
              <w:pStyle w:val="Compact"/>
              <w:jc w:val="left"/>
            </w:pPr>
            <w:r>
              <w:t xml:space="preserve">无</w:t>
            </w:r>
          </w:p>
        </w:tc>
        <w:tc>
          <w:tcPr/>
          <w:p>
            <w:pPr>
              <w:pStyle w:val="Compact"/>
              <w:jc w:val="left"/>
            </w:pPr>
            <w:r>
              <w:t xml:space="preserve">无</w:t>
            </w:r>
          </w:p>
        </w:tc>
        <w:tc>
          <w:tcPr/>
          <w:p>
            <w:pPr>
              <w:pStyle w:val="Compact"/>
              <w:jc w:val="left"/>
            </w:pPr>
            <w:r>
              <w:t xml:space="preserve">无</w:t>
            </w:r>
          </w:p>
        </w:tc>
        <w:tc>
          <w:tcPr/>
          <w:p>
            <w:pPr>
              <w:pStyle w:val="Compact"/>
              <w:jc w:val="left"/>
            </w:pPr>
            <w:r>
              <w:t xml:space="preserve">原始 CNN-DP</w:t>
            </w:r>
          </w:p>
        </w:tc>
      </w:tr>
      <w:tr>
        <w:tc>
          <w:tcPr/>
          <w:p>
            <w:pPr>
              <w:pStyle w:val="Compact"/>
              <w:jc w:val="left"/>
            </w:pPr>
            <w:r>
              <w:t xml:space="preserve">E1</w:t>
            </w:r>
          </w:p>
        </w:tc>
        <w:tc>
          <w:tcPr/>
          <w:p>
            <w:pPr>
              <w:pStyle w:val="Compact"/>
              <w:jc w:val="left"/>
            </w:pPr>
            <w:r>
              <w:t xml:space="preserve">是</w:t>
            </w:r>
          </w:p>
        </w:tc>
        <w:tc>
          <w:tcPr/>
          <w:p>
            <w:pPr>
              <w:pStyle w:val="Compact"/>
              <w:jc w:val="left"/>
            </w:pPr>
            <w:r>
              <w:t xml:space="preserve">RGB-D 4ch</w:t>
            </w:r>
          </w:p>
        </w:tc>
        <w:tc>
          <w:tcPr/>
          <w:p>
            <w:pPr>
              <w:pStyle w:val="Compact"/>
              <w:jc w:val="left"/>
            </w:pPr>
            <w:r>
              <w:t xml:space="preserve">无</w:t>
            </w:r>
          </w:p>
        </w:tc>
        <w:tc>
          <w:tcPr/>
          <w:p>
            <w:pPr>
              <w:pStyle w:val="Compact"/>
              <w:jc w:val="left"/>
            </w:pPr>
            <w:r>
              <w:t xml:space="preserve">无</w:t>
            </w:r>
          </w:p>
        </w:tc>
        <w:tc>
          <w:tcPr/>
          <w:p>
            <w:pPr>
              <w:pStyle w:val="Compact"/>
              <w:jc w:val="left"/>
            </w:pPr>
            <w:r>
              <w:t xml:space="preserve">无</w:t>
            </w:r>
          </w:p>
        </w:tc>
        <w:tc>
          <w:tcPr/>
          <w:p>
            <w:pPr>
              <w:pStyle w:val="Compact"/>
              <w:jc w:val="left"/>
            </w:pPr>
            <w:r>
              <w:t xml:space="preserve">直接加入深度</w:t>
            </w:r>
          </w:p>
        </w:tc>
      </w:tr>
      <w:tr>
        <w:tc>
          <w:tcPr/>
          <w:p>
            <w:pPr>
              <w:pStyle w:val="Compact"/>
              <w:jc w:val="left"/>
            </w:pPr>
            <w:r>
              <w:t xml:space="preserve">E2</w:t>
            </w:r>
          </w:p>
        </w:tc>
        <w:tc>
          <w:tcPr/>
          <w:p>
            <w:pPr>
              <w:pStyle w:val="Compact"/>
              <w:jc w:val="left"/>
            </w:pPr>
            <w:r>
              <w:t xml:space="preserve">是</w:t>
            </w:r>
          </w:p>
        </w:tc>
        <w:tc>
          <w:tcPr/>
          <w:p>
            <w:pPr>
              <w:pStyle w:val="Compact"/>
              <w:jc w:val="left"/>
            </w:pPr>
            <w:r>
              <w:t xml:space="preserve">无</w:t>
            </w:r>
          </w:p>
        </w:tc>
        <w:tc>
          <w:tcPr/>
          <w:p>
            <w:pPr>
              <w:pStyle w:val="Compact"/>
              <w:jc w:val="left"/>
            </w:pPr>
            <w:r>
              <w:t xml:space="preserve">Plain SA</w:t>
            </w:r>
          </w:p>
        </w:tc>
        <w:tc>
          <w:tcPr/>
          <w:p>
            <w:pPr>
              <w:pStyle w:val="Compact"/>
              <w:jc w:val="left"/>
            </w:pPr>
            <w:r>
              <w:t xml:space="preserve">无</w:t>
            </w:r>
          </w:p>
        </w:tc>
        <w:tc>
          <w:tcPr/>
          <w:p>
            <w:pPr>
              <w:pStyle w:val="Compact"/>
              <w:jc w:val="left"/>
            </w:pPr>
            <w:r>
              <w:t xml:space="preserve">无</w:t>
            </w:r>
          </w:p>
        </w:tc>
        <w:tc>
          <w:tcPr/>
          <w:p>
            <w:pPr>
              <w:pStyle w:val="Compact"/>
              <w:jc w:val="left"/>
            </w:pPr>
            <w:r>
              <w:t xml:space="preserve">额外注意力容量</w:t>
            </w:r>
          </w:p>
        </w:tc>
      </w:tr>
      <w:tr>
        <w:tc>
          <w:tcPr/>
          <w:p>
            <w:pPr>
              <w:pStyle w:val="Compact"/>
              <w:jc w:val="left"/>
            </w:pPr>
            <w:r>
              <w:t xml:space="preserve">E3</w:t>
            </w:r>
          </w:p>
        </w:tc>
        <w:tc>
          <w:tcPr/>
          <w:p>
            <w:pPr>
              <w:pStyle w:val="Compact"/>
              <w:jc w:val="left"/>
            </w:pPr>
            <w:r>
              <w:t xml:space="preserve">是</w:t>
            </w:r>
          </w:p>
        </w:tc>
        <w:tc>
          <w:tcPr/>
          <w:p>
            <w:pPr>
              <w:pStyle w:val="Compact"/>
              <w:jc w:val="left"/>
            </w:pPr>
            <w:r>
              <w:t xml:space="preserve">GSA 几何先验</w:t>
            </w:r>
          </w:p>
        </w:tc>
        <w:tc>
          <w:tcPr/>
          <w:p>
            <w:pPr>
              <w:pStyle w:val="Compact"/>
              <w:jc w:val="left"/>
            </w:pPr>
            <w:r>
              <w:t xml:space="preserve">GSA</w:t>
            </w:r>
          </w:p>
        </w:tc>
        <w:tc>
          <w:tcPr/>
          <w:p>
            <w:pPr>
              <w:pStyle w:val="Compact"/>
              <w:jc w:val="left"/>
            </w:pPr>
            <w:r>
              <w:t xml:space="preserve">无</w:t>
            </w:r>
          </w:p>
        </w:tc>
        <w:tc>
          <w:tcPr/>
          <w:p>
            <w:pPr>
              <w:pStyle w:val="Compact"/>
              <w:jc w:val="left"/>
            </w:pPr>
            <w:r>
              <w:t xml:space="preserve">无</w:t>
            </w:r>
          </w:p>
        </w:tc>
        <w:tc>
          <w:tcPr/>
          <w:p>
            <w:pPr>
              <w:pStyle w:val="Compact"/>
              <w:jc w:val="left"/>
            </w:pPr>
            <w:r>
              <w:t xml:space="preserve">工作点一</w:t>
            </w:r>
          </w:p>
        </w:tc>
      </w:tr>
      <w:tr>
        <w:tc>
          <w:tcPr/>
          <w:p>
            <w:pPr>
              <w:pStyle w:val="Compact"/>
              <w:jc w:val="left"/>
            </w:pPr>
            <w:r>
              <w:t xml:space="preserve">E4</w:t>
            </w:r>
          </w:p>
        </w:tc>
        <w:tc>
          <w:tcPr/>
          <w:p>
            <w:pPr>
              <w:pStyle w:val="Compact"/>
              <w:jc w:val="left"/>
            </w:pPr>
            <w:r>
              <w:t xml:space="preserve">是</w:t>
            </w:r>
          </w:p>
        </w:tc>
        <w:tc>
          <w:tcPr/>
          <w:p>
            <w:pPr>
              <w:pStyle w:val="Compact"/>
              <w:jc w:val="left"/>
            </w:pPr>
            <w:r>
              <w:t xml:space="preserve">仅用于局部深度</w:t>
            </w:r>
          </w:p>
        </w:tc>
        <w:tc>
          <w:tcPr/>
          <w:p>
            <w:pPr>
              <w:pStyle w:val="Compact"/>
              <w:jc w:val="left"/>
            </w:pPr>
            <w:r>
              <w:t xml:space="preserve">无</w:t>
            </w:r>
          </w:p>
        </w:tc>
        <w:tc>
          <w:tcPr/>
          <w:p>
            <w:pPr>
              <w:pStyle w:val="Compact"/>
              <w:jc w:val="left"/>
            </w:pPr>
            <w:r>
              <w:t xml:space="preserve">Geometry TokenLearner</w:t>
            </w:r>
          </w:p>
        </w:tc>
        <w:tc>
          <w:tcPr/>
          <w:p>
            <w:pPr>
              <w:pStyle w:val="Compact"/>
              <w:jc w:val="left"/>
            </w:pPr>
            <w:r>
              <w:t xml:space="preserve">是</w:t>
            </w:r>
          </w:p>
        </w:tc>
        <w:tc>
          <w:tcPr/>
          <w:p>
            <w:pPr>
              <w:pStyle w:val="Compact"/>
              <w:jc w:val="left"/>
            </w:pPr>
            <w:r>
              <w:t xml:space="preserve">工作点二</w:t>
            </w:r>
          </w:p>
        </w:tc>
      </w:tr>
      <w:tr>
        <w:tc>
          <w:tcPr/>
          <w:p>
            <w:pPr>
              <w:pStyle w:val="Compact"/>
              <w:jc w:val="left"/>
            </w:pPr>
            <w:r>
              <w:t xml:space="preserve">E5</w:t>
            </w:r>
          </w:p>
        </w:tc>
        <w:tc>
          <w:tcPr/>
          <w:p>
            <w:pPr>
              <w:pStyle w:val="Compact"/>
              <w:jc w:val="left"/>
            </w:pPr>
            <w:r>
              <w:t xml:space="preserve">是</w:t>
            </w:r>
          </w:p>
        </w:tc>
        <w:tc>
          <w:tcPr/>
          <w:p>
            <w:pPr>
              <w:pStyle w:val="Compact"/>
              <w:jc w:val="left"/>
            </w:pPr>
            <w:r>
              <w:t xml:space="preserve">GSA 几何先验</w:t>
            </w:r>
          </w:p>
        </w:tc>
        <w:tc>
          <w:tcPr/>
          <w:p>
            <w:pPr>
              <w:pStyle w:val="Compact"/>
              <w:jc w:val="left"/>
            </w:pPr>
            <w:r>
              <w:t xml:space="preserve">GSA</w:t>
            </w:r>
          </w:p>
        </w:tc>
        <w:tc>
          <w:tcPr/>
          <w:p>
            <w:pPr>
              <w:pStyle w:val="Compact"/>
              <w:jc w:val="left"/>
            </w:pPr>
            <w:r>
              <w:t xml:space="preserve">Vanilla TokenLearner</w:t>
            </w:r>
          </w:p>
        </w:tc>
        <w:tc>
          <w:tcPr/>
          <w:p>
            <w:pPr>
              <w:pStyle w:val="Compact"/>
              <w:jc w:val="left"/>
            </w:pPr>
            <w:r>
              <w:t xml:space="preserve">否</w:t>
            </w:r>
          </w:p>
        </w:tc>
        <w:tc>
          <w:tcPr/>
          <w:p>
            <w:pPr>
              <w:pStyle w:val="Compact"/>
              <w:jc w:val="left"/>
            </w:pPr>
            <w:r>
              <w:t xml:space="preserve">普通视觉 Token 增量</w:t>
            </w:r>
          </w:p>
        </w:tc>
      </w:tr>
      <w:tr>
        <w:tc>
          <w:tcPr/>
          <w:p>
            <w:pPr>
              <w:pStyle w:val="Compact"/>
              <w:jc w:val="left"/>
            </w:pPr>
            <w:r>
              <w:t xml:space="preserve">E6</w:t>
            </w:r>
          </w:p>
        </w:tc>
        <w:tc>
          <w:tcPr/>
          <w:p>
            <w:pPr>
              <w:pStyle w:val="Compact"/>
              <w:jc w:val="left"/>
            </w:pPr>
            <w:r>
              <w:t xml:space="preserve">是</w:t>
            </w:r>
          </w:p>
        </w:tc>
        <w:tc>
          <w:tcPr/>
          <w:p>
            <w:pPr>
              <w:pStyle w:val="Compact"/>
              <w:jc w:val="left"/>
            </w:pPr>
            <w:r>
              <w:t xml:space="preserve">GSA + 局部深度</w:t>
            </w:r>
          </w:p>
        </w:tc>
        <w:tc>
          <w:tcPr/>
          <w:p>
            <w:pPr>
              <w:pStyle w:val="Compact"/>
              <w:jc w:val="left"/>
            </w:pPr>
            <w:r>
              <w:t xml:space="preserve">GSA</w:t>
            </w:r>
          </w:p>
        </w:tc>
        <w:tc>
          <w:tcPr/>
          <w:p>
            <w:pPr>
              <w:pStyle w:val="Compact"/>
              <w:jc w:val="left"/>
            </w:pPr>
            <w:r>
              <w:t xml:space="preserve">Geometry TokenLearner</w:t>
            </w:r>
          </w:p>
        </w:tc>
        <w:tc>
          <w:tcPr/>
          <w:p>
            <w:pPr>
              <w:pStyle w:val="Compact"/>
              <w:jc w:val="left"/>
            </w:pPr>
            <w:r>
              <w:t xml:space="preserve">是</w:t>
            </w:r>
          </w:p>
        </w:tc>
        <w:tc>
          <w:tcPr/>
          <w:p>
            <w:pPr>
              <w:pStyle w:val="Compact"/>
              <w:jc w:val="left"/>
            </w:pPr>
            <w:r>
              <w:t xml:space="preserve">完整方法</w:t>
            </w:r>
          </w:p>
        </w:tc>
      </w:tr>
      <w:tr>
        <w:tc>
          <w:tcPr/>
          <w:p>
            <w:pPr>
              <w:pStyle w:val="Compact"/>
              <w:jc w:val="left"/>
            </w:pPr>
            <w:r>
              <w:t xml:space="preserve">E7</w:t>
            </w:r>
          </w:p>
        </w:tc>
        <w:tc>
          <w:tcPr/>
          <w:p>
            <w:pPr>
              <w:pStyle w:val="Compact"/>
              <w:jc w:val="left"/>
            </w:pPr>
            <w:r>
              <w:t xml:space="preserve">是</w:t>
            </w:r>
          </w:p>
        </w:tc>
        <w:tc>
          <w:tcPr/>
          <w:p>
            <w:pPr>
              <w:pStyle w:val="Compact"/>
              <w:jc w:val="left"/>
            </w:pPr>
            <w:r>
              <w:t xml:space="preserve">4ch 特征</w:t>
            </w:r>
          </w:p>
        </w:tc>
        <w:tc>
          <w:tcPr/>
          <w:p>
            <w:pPr>
              <w:pStyle w:val="Compact"/>
              <w:jc w:val="left"/>
            </w:pPr>
            <w:r>
              <w:t xml:space="preserve">Plain SA</w:t>
            </w:r>
          </w:p>
        </w:tc>
        <w:tc>
          <w:tcPr/>
          <w:p>
            <w:pPr>
              <w:pStyle w:val="Compact"/>
              <w:jc w:val="left"/>
            </w:pPr>
            <w:r>
              <w:t xml:space="preserve">无</w:t>
            </w:r>
          </w:p>
        </w:tc>
        <w:tc>
          <w:tcPr/>
          <w:p>
            <w:pPr>
              <w:pStyle w:val="Compact"/>
              <w:jc w:val="left"/>
            </w:pPr>
            <w:r>
              <w:t xml:space="preserve">无</w:t>
            </w:r>
          </w:p>
        </w:tc>
        <w:tc>
          <w:tcPr/>
          <w:p>
            <w:pPr>
              <w:pStyle w:val="Compact"/>
              <w:jc w:val="left"/>
            </w:pPr>
            <w:r>
              <w:t xml:space="preserve">区分显式先验与普通 RGB-D 注意力</w:t>
            </w:r>
          </w:p>
        </w:tc>
      </w:tr>
    </w:tbl>
    <w:p>
      <w:pPr>
        <w:pStyle w:val="BodyText"/>
      </w:pPr>
      <w:r>
        <w:t xml:space="preserve">E0/E1/E3/E4/E6 覆盖五个任务；E2/E5/E7 首先覆盖 Threading、StackCube、PegInsertion 三个代表性任务。对 E0、E3、E4、E6 可以建立两模块的交互效应统计量：</w:t>
      </w:r>
    </w:p>
    <w:p>
      <w:pPr>
        <w:pStyle w:val="BodyText"/>
      </w:pPr>
      <m:oMathPara>
        <m:oMathParaPr>
          <m:jc m:val="center"/>
        </m:oMathParaPr>
        <m:oMath>
          <m:sSub>
            <m:e>
              <m:r>
                <m:t>Δ</m:t>
              </m:r>
            </m:e>
            <m:sub>
              <m:r>
                <m:t>i</m:t>
              </m:r>
              <m:r>
                <m:t>n</m:t>
              </m:r>
              <m:r>
                <m:t>t</m:t>
              </m:r>
            </m:sub>
          </m:sSub>
          <m:r>
            <m:rPr>
              <m:sty m:val="p"/>
            </m:rPr>
            <m:t>=</m:t>
          </m:r>
          <m:r>
            <m:t>S</m:t>
          </m:r>
          <m:sSub>
            <m:e>
              <m:r>
                <m:t>R</m:t>
              </m:r>
            </m:e>
            <m:sub>
              <m:r>
                <m:t>E</m:t>
              </m:r>
              <m:r>
                <m:t>6</m:t>
              </m:r>
            </m:sub>
          </m:sSub>
          <m:r>
            <m:rPr>
              <m:sty m:val="p"/>
            </m:rPr>
            <m:t>−</m:t>
          </m:r>
          <m:r>
            <m:t>S</m:t>
          </m:r>
          <m:sSub>
            <m:e>
              <m:r>
                <m:t>R</m:t>
              </m:r>
            </m:e>
            <m:sub>
              <m:r>
                <m:t>E</m:t>
              </m:r>
              <m:r>
                <m:t>3</m:t>
              </m:r>
            </m:sub>
          </m:sSub>
          <m:r>
            <m:rPr>
              <m:sty m:val="p"/>
            </m:rPr>
            <m:t>−</m:t>
          </m:r>
          <m:r>
            <m:t>S</m:t>
          </m:r>
          <m:sSub>
            <m:e>
              <m:r>
                <m:t>R</m:t>
              </m:r>
            </m:e>
            <m:sub>
              <m:r>
                <m:t>E</m:t>
              </m:r>
              <m:r>
                <m:t>4</m:t>
              </m:r>
            </m:sub>
          </m:sSub>
          <m:r>
            <m:rPr>
              <m:sty m:val="p"/>
            </m:rPr>
            <m:t>+</m:t>
          </m:r>
          <m:r>
            <m:t>S</m:t>
          </m:r>
          <m:sSub>
            <m:e>
              <m:r>
                <m:t>R</m:t>
              </m:r>
            </m:e>
            <m:sub>
              <m:r>
                <m:t>E</m:t>
              </m:r>
              <m:r>
                <m:t>0</m:t>
              </m:r>
            </m:sub>
          </m:sSub>
          <m:r>
            <m:rPr>
              <m:sty m:val="p"/>
            </m:rPr>
            <m:t>.</m:t>
          </m:r>
        </m:oMath>
      </m:oMathPara>
    </w:p>
    <w:p>
      <w:pPr>
        <w:pStyle w:val="FirstParagraph"/>
      </w:pPr>
      <w:r>
        <w:t xml:space="preserve">当</w:t>
      </w:r>
      <w:r>
        <w:t xml:space="preserve"> </w:t>
      </w:r>
      <m:oMath>
        <m:sSub>
          <m:e>
            <m:r>
              <m:t>Δ</m:t>
            </m:r>
          </m:e>
          <m:sub>
            <m:r>
              <m:t>i</m:t>
            </m:r>
            <m:r>
              <m:t>n</m:t>
            </m:r>
            <m:r>
              <m:t>t</m:t>
            </m:r>
          </m:sub>
        </m:sSub>
        <m:r>
          <m:rPr>
            <m:sty m:val="p"/>
          </m:rPr>
          <m:t>&gt;</m:t>
        </m:r>
        <m:r>
          <m:t>0</m:t>
        </m:r>
      </m:oMath>
      <w:r>
        <w:t xml:space="preserve"> </w:t>
      </w:r>
      <w:r>
        <w:t xml:space="preserve">时，表明相同评测设置下的联合改善超过两个单模块收益的简单相加；其统计置信程度仍需通过训练种子和配对评测来分析。该统计不能直接证明 GSA 必然提升了 Token 的目标聚焦程度，仍需下一节机理度量支持。</w:t>
      </w:r>
    </w:p>
    <w:bookmarkEnd w:id="62"/>
    <w:bookmarkStart w:id="63" w:name="视觉编码器与模型容量对照"/>
    <w:p>
      <w:pPr>
        <w:pStyle w:val="Heading3"/>
      </w:pPr>
      <w:r>
        <w:t xml:space="preserve">3.6.7 视觉编码器与模型容量对照</w:t>
      </w:r>
    </w:p>
    <w:p>
      <w:pPr>
        <w:pStyle w:val="FirstParagraph"/>
      </w:pPr>
      <w:r>
        <w:t xml:space="preserve">借鉴 DP3 通过改变几何编码器比较表征能力的研究思路[9]，本文进一步设置 ResNet18、ResNet34、ResNet50、ResNet18+Plain SA、ResNet18+GSA、RGB-D ResNet18+Plain SA 等对照。统一保持相同的一维动作去噪骨干和全局条件维度，在 Threading 与 PegInsertion 等代表性任务上对比闭环成功率、总可训练参数量、视觉编码时延和完整规划时延。</w:t>
      </w:r>
    </w:p>
    <w:p>
      <w:pPr>
        <w:pStyle w:val="BodyText"/>
      </w:pPr>
      <w:r>
        <w:t xml:space="preserve">本节重点检验：GSA 的收益能否超出普通增加 ResNet 容量或增加普通自注意力的收益。如果更大的纯 RGB-D CNN 获得相近或更好成绩，则应据实讨论 GSA 的部署价值（例如参数效率或空间表征解释性），而不是简单断言“几何注意力一定优于卷积”。</w:t>
      </w:r>
    </w:p>
    <w:p>
      <w:pPr>
        <w:pStyle w:val="BodyText"/>
      </w:pPr>
      <w:r>
        <w:rPr>
          <w:b/>
          <w:bCs/>
        </w:rPr>
        <w:t xml:space="preserve">表3-6 不同视觉编码器的成功率、参数量和规划时间对照（待填）</w:t>
      </w:r>
    </w:p>
    <w:bookmarkEnd w:id="63"/>
    <w:bookmarkStart w:id="64" w:name="不同示范数量下的数据效率实验"/>
    <w:p>
      <w:pPr>
        <w:pStyle w:val="Heading3"/>
      </w:pPr>
      <w:r>
        <w:t xml:space="preserve">3.6.8 不同示范数量下的数据效率实验</w:t>
      </w:r>
    </w:p>
    <w:p>
      <w:pPr>
        <w:pStyle w:val="FirstParagraph"/>
      </w:pPr>
      <w:r>
        <w:t xml:space="preserve">选取 MimicGen Stack Three D1 与 Threading D2，对 E0、E1、E6 分别使用 100、200、1000 条专家示范，三个训练种子。采用公开论文的等量级训练更新规则[7]：</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示范规模</w:t>
            </w:r>
          </w:p>
        </w:tc>
        <w:tc>
          <w:tcPr/>
          <w:p>
            <w:pPr>
              <w:pStyle w:val="Compact"/>
              <w:jc w:val="right"/>
            </w:pPr>
            <w:r>
              <w:t xml:space="preserve">训练 epoch</w:t>
            </w:r>
          </w:p>
        </w:tc>
        <w:tc>
          <w:tcPr/>
          <w:p>
            <w:pPr>
              <w:pStyle w:val="Compact"/>
              <w:jc w:val="right"/>
            </w:pPr>
            <w:r>
              <w:t xml:space="preserve">checkpoint 间隔</w:t>
            </w:r>
          </w:p>
        </w:tc>
        <w:tc>
          <w:tcPr/>
          <w:p>
            <w:pPr>
              <w:pStyle w:val="Compact"/>
              <w:jc w:val="right"/>
            </w:pPr>
            <w:r>
              <w:t xml:space="preserve">评测点数</w:t>
            </w:r>
          </w:p>
        </w:tc>
      </w:tr>
      <w:tr>
        <w:tc>
          <w:tcPr/>
          <w:p>
            <w:pPr>
              <w:pStyle w:val="Compact"/>
              <w:jc w:val="right"/>
            </w:pPr>
            <w:r>
              <w:t xml:space="preserve">100</w:t>
            </w:r>
          </w:p>
        </w:tc>
        <w:tc>
          <w:tcPr/>
          <w:p>
            <w:pPr>
              <w:pStyle w:val="Compact"/>
              <w:jc w:val="right"/>
            </w:pPr>
            <w:r>
              <w:t xml:space="preserve">500</w:t>
            </w:r>
          </w:p>
        </w:tc>
        <w:tc>
          <w:tcPr/>
          <w:p>
            <w:pPr>
              <w:pStyle w:val="Compact"/>
              <w:jc w:val="right"/>
            </w:pPr>
            <w:r>
              <w:t xml:space="preserve">10</w:t>
            </w:r>
          </w:p>
        </w:tc>
        <w:tc>
          <w:tcPr/>
          <w:p>
            <w:pPr>
              <w:pStyle w:val="Compact"/>
              <w:jc w:val="right"/>
            </w:pPr>
            <w:r>
              <w:t xml:space="preserve">50</w:t>
            </w:r>
          </w:p>
        </w:tc>
      </w:tr>
      <w:tr>
        <w:tc>
          <w:tcPr/>
          <w:p>
            <w:pPr>
              <w:pStyle w:val="Compact"/>
              <w:jc w:val="right"/>
            </w:pPr>
            <w:r>
              <w:t xml:space="preserve">200</w:t>
            </w:r>
          </w:p>
        </w:tc>
        <w:tc>
          <w:tcPr/>
          <w:p>
            <w:pPr>
              <w:pStyle w:val="Compact"/>
              <w:jc w:val="right"/>
            </w:pPr>
            <w:r>
              <w:t xml:space="preserve">250</w:t>
            </w:r>
          </w:p>
        </w:tc>
        <w:tc>
          <w:tcPr/>
          <w:p>
            <w:pPr>
              <w:pStyle w:val="Compact"/>
              <w:jc w:val="right"/>
            </w:pPr>
            <w:r>
              <w:t xml:space="preserve">5</w:t>
            </w:r>
          </w:p>
        </w:tc>
        <w:tc>
          <w:tcPr/>
          <w:p>
            <w:pPr>
              <w:pStyle w:val="Compact"/>
              <w:jc w:val="right"/>
            </w:pPr>
            <w:r>
              <w:t xml:space="preserve">50</w:t>
            </w:r>
          </w:p>
        </w:tc>
      </w:tr>
      <w:tr>
        <w:tc>
          <w:tcPr/>
          <w:p>
            <w:pPr>
              <w:pStyle w:val="Compact"/>
              <w:jc w:val="right"/>
            </w:pPr>
            <w:r>
              <w:t xml:space="preserve">1000</w:t>
            </w:r>
          </w:p>
        </w:tc>
        <w:tc>
          <w:tcPr/>
          <w:p>
            <w:pPr>
              <w:pStyle w:val="Compact"/>
              <w:jc w:val="right"/>
            </w:pPr>
            <w:r>
              <w:t xml:space="preserve">50</w:t>
            </w:r>
          </w:p>
        </w:tc>
        <w:tc>
          <w:tcPr/>
          <w:p>
            <w:pPr>
              <w:pStyle w:val="Compact"/>
              <w:jc w:val="right"/>
            </w:pPr>
            <w:r>
              <w:t xml:space="preserve">1</w:t>
            </w:r>
          </w:p>
        </w:tc>
        <w:tc>
          <w:tcPr/>
          <w:p>
            <w:pPr>
              <w:pStyle w:val="Compact"/>
              <w:jc w:val="right"/>
            </w:pPr>
            <w:r>
              <w:t xml:space="preserve">50</w:t>
            </w:r>
          </w:p>
        </w:tc>
      </w:tr>
    </w:tbl>
    <w:p>
      <w:pPr>
        <w:pStyle w:val="BodyText"/>
      </w:pPr>
      <w:r>
        <w:t xml:space="preserve">各子集按保存的示范轨迹 ID 嵌套，评测初始状态和 episode 数保持固定。数据效率绘制“示范条数—Best SR”和“优化更新数—成功率”两类曲线；前者衡量样本效率，后者衡量训练进度，不得混为一个指标。</w:t>
      </w:r>
    </w:p>
    <w:bookmarkEnd w:id="64"/>
    <w:bookmarkStart w:id="65" w:name="gsa-的几何注意力与特征区分度验证"/>
    <w:p>
      <w:pPr>
        <w:pStyle w:val="Heading3"/>
      </w:pPr>
      <w:r>
        <w:t xml:space="preserve">3.6.9 GSA 的几何注意力与特征区分度验证</w:t>
      </w:r>
    </w:p>
    <w:p>
      <w:pPr>
        <w:pStyle w:val="FirstParagraph"/>
      </w:pPr>
      <w:r>
        <w:t xml:space="preserve">本节用于检验工作点一机制，而不只是展示彩色注意力图。对于固定训练权重、环境初始状态、图像和 Query 位置，离线保存 RGB、Depth、深度差几何先验、GSA 真实横向/纵向注意力以及 GSA 前后特征。若 Decomposed GSA 没有显式完整</w:t>
      </w:r>
      <w:r>
        <w:t xml:space="preserve"> </w:t>
      </w:r>
      <m:oMath>
        <m:r>
          <m:t>H</m:t>
        </m:r>
        <m:r>
          <m:t>W</m:t>
        </m:r>
        <m:r>
          <m:rPr>
            <m:sty m:val="p"/>
          </m:rPr>
          <m:t>×</m:t>
        </m:r>
        <m:r>
          <m:t>H</m:t>
        </m:r>
        <m:r>
          <m:t>W</m:t>
        </m:r>
      </m:oMath>
      <w:r>
        <w:t xml:space="preserve"> </w:t>
      </w:r>
      <w:r>
        <w:t xml:space="preserve">注意力矩阵，优先展示原始轴向权重；若派生二维等效权重，要在方法中给出计算方式。对齐实例分割真值仅用于离线评价。</w:t>
      </w:r>
    </w:p>
    <w:p>
      <w:pPr>
        <w:pStyle w:val="BodyText"/>
      </w:pPr>
      <w:r>
        <w:t xml:space="preserve">设</w:t>
      </w:r>
      <w:r>
        <w:t xml:space="preserve"> </w:t>
      </w:r>
      <m:oMath>
        <m:sSub>
          <m:e>
            <m:r>
              <m:t>Ω</m:t>
            </m:r>
          </m:e>
          <m:sub>
            <m:r>
              <m:t>i</m:t>
            </m:r>
          </m:sub>
        </m:sSub>
      </m:oMath>
      <w:r>
        <w:t xml:space="preserve"> </w:t>
      </w:r>
      <w:r>
        <w:t xml:space="preserve">为 Query 所属真实实例的像素集合，可定义该位置指向同物体区域的注意力质量（在该网络实际定义了可比较的注意力归一化权重时）：</w:t>
      </w:r>
    </w:p>
    <w:p>
      <w:pPr>
        <w:pStyle w:val="BodyText"/>
      </w:pPr>
      <m:oMathPara>
        <m:oMathParaPr>
          <m:jc m:val="center"/>
        </m:oMathParaPr>
        <m:oMath>
          <m:sSubSup>
            <m:e>
              <m:r>
                <m:t>M</m:t>
              </m:r>
            </m:e>
            <m:sub>
              <m:r>
                <m:t>i</m:t>
              </m:r>
            </m:sub>
            <m:sup>
              <m:r>
                <m:t>s</m:t>
              </m:r>
              <m:r>
                <m:t>a</m:t>
              </m:r>
              <m:r>
                <m:t>m</m:t>
              </m:r>
              <m:r>
                <m:t>e</m:t>
              </m:r>
            </m:sup>
          </m:sSubSup>
          <m:r>
            <m:rPr>
              <m:sty m:val="p"/>
            </m:rPr>
            <m:t>=</m:t>
          </m:r>
          <m:nary>
            <m:naryPr>
              <m:chr m:val="∑"/>
              <m:limLoc m:val="undOvr"/>
              <m:subHide m:val="off"/>
              <m:supHide m:val="on"/>
            </m:naryPr>
            <m:sub>
              <m:r>
                <m:t>j</m:t>
              </m:r>
              <m:r>
                <m:rPr>
                  <m:sty m:val="p"/>
                </m:rPr>
                <m:t>∈</m:t>
              </m:r>
              <m:sSub>
                <m:e>
                  <m:r>
                    <m:t>Ω</m:t>
                  </m:r>
                </m:e>
                <m:sub>
                  <m:r>
                    <m:t>i</m:t>
                  </m:r>
                </m:sub>
              </m:sSub>
            </m:sub>
            <m:sup>
              <m:r>
                <m:t>​</m:t>
              </m:r>
            </m:sup>
            <m:e>
              <m:sSub>
                <m:e>
                  <m:r>
                    <m:t>a</m:t>
                  </m:r>
                </m:e>
                <m:sub>
                  <m:r>
                    <m:t>i</m:t>
                  </m:r>
                  <m:r>
                    <m:t>j</m:t>
                  </m:r>
                </m:sub>
              </m:sSub>
            </m:e>
          </m:nary>
          <m:r>
            <m:rPr>
              <m:sty m:val="p"/>
            </m:rPr>
            <m:t>.</m:t>
          </m:r>
        </m:oMath>
      </m:oMathPara>
    </w:p>
    <w:p>
      <w:pPr>
        <w:pStyle w:val="FirstParagraph"/>
      </w:pPr>
      <w:r>
        <w:t xml:space="preserve">跨物体注意力质量相应记为</w:t>
      </w:r>
      <w:r>
        <w:t xml:space="preserve"> </w:t>
      </w:r>
      <m:oMath>
        <m:sSubSup>
          <m:e>
            <m:r>
              <m:t>M</m:t>
            </m:r>
          </m:e>
          <m:sub>
            <m:r>
              <m:t>i</m:t>
            </m:r>
          </m:sub>
          <m:sup>
            <m:r>
              <m:t>c</m:t>
            </m:r>
            <m:r>
              <m:t>r</m:t>
            </m:r>
            <m:r>
              <m:t>o</m:t>
            </m:r>
            <m:r>
              <m:t>s</m:t>
            </m:r>
            <m:r>
              <m:t>s</m:t>
            </m:r>
          </m:sup>
        </m:sSubSup>
      </m:oMath>
      <w:r>
        <w:t xml:space="preserve">。此外，使用层内归一化视觉特征定义同实例与异实例余弦相似度差：</w:t>
      </w:r>
    </w:p>
    <w:p>
      <w:pPr>
        <w:pStyle w:val="BodyText"/>
      </w:pPr>
      <m:oMathPara>
        <m:oMathParaPr>
          <m:jc m:val="center"/>
        </m:oMathParaPr>
        <m:oMath>
          <m:sSub>
            <m:e>
              <m:r>
                <m:t>Δ</m:t>
              </m:r>
            </m:e>
            <m:sub>
              <m:r>
                <m:t>f</m:t>
              </m:r>
              <m:r>
                <m:t>e</m:t>
              </m:r>
              <m:r>
                <m:t>a</m:t>
              </m:r>
              <m:r>
                <m:t>t</m:t>
              </m:r>
            </m:sub>
          </m:sSub>
          <m:r>
            <m:rPr>
              <m:sty m:val="p"/>
            </m:rPr>
            <m:t>=</m:t>
          </m:r>
          <m:r>
            <m:rPr>
              <m:sty m:val="p"/>
              <m:scr m:val="double-struck"/>
            </m:rPr>
            <m:t>E</m:t>
          </m:r>
          <m:d>
            <m:dPr>
              <m:begChr m:val="["/>
              <m:endChr m:val="]"/>
              <m:sepChr m:val=""/>
              <m:grow/>
            </m:dPr>
            <m:e>
              <m:r>
                <m:rPr>
                  <m:sty m:val="p"/>
                </m:rPr>
                <m:t>cos</m:t>
              </m:r>
              <m:d>
                <m:dPr>
                  <m:begChr m:val="("/>
                  <m:endChr m:val=")"/>
                  <m:sepChr m:val=""/>
                  <m:grow/>
                </m:dPr>
                <m:e>
                  <m:sSub>
                    <m:e>
                      <m:r>
                        <m:t>f</m:t>
                      </m:r>
                    </m:e>
                    <m:sub>
                      <m:r>
                        <m:t>i</m:t>
                      </m:r>
                    </m:sub>
                  </m:sSub>
                  <m:r>
                    <m:rPr>
                      <m:sty m:val="p"/>
                    </m:rPr>
                    <m:t>,</m:t>
                  </m:r>
                  <m:sSub>
                    <m:e>
                      <m:r>
                        <m:t>f</m:t>
                      </m:r>
                    </m:e>
                    <m:sub>
                      <m:r>
                        <m:t>j</m:t>
                      </m:r>
                    </m:sub>
                  </m:sSub>
                </m:e>
              </m:d>
              <m:r>
                <m:rPr>
                  <m:sty m:val="p"/>
                </m:rPr>
                <m:t>∣</m:t>
              </m:r>
              <m:r>
                <m:t>s</m:t>
              </m:r>
              <m:r>
                <m:t>a</m:t>
              </m:r>
              <m:r>
                <m:t>m</m:t>
              </m:r>
              <m:r>
                <m:t>e</m:t>
              </m:r>
            </m:e>
          </m:d>
          <m:r>
            <m:rPr>
              <m:sty m:val="p"/>
            </m:rPr>
            <m:t>−</m:t>
          </m:r>
          <m:r>
            <m:rPr>
              <m:sty m:val="p"/>
              <m:scr m:val="double-struck"/>
            </m:rPr>
            <m:t>E</m:t>
          </m:r>
          <m:d>
            <m:dPr>
              <m:begChr m:val="["/>
              <m:endChr m:val="]"/>
              <m:sepChr m:val=""/>
              <m:grow/>
            </m:dPr>
            <m:e>
              <m:r>
                <m:rPr>
                  <m:sty m:val="p"/>
                </m:rPr>
                <m:t>cos</m:t>
              </m:r>
              <m:d>
                <m:dPr>
                  <m:begChr m:val="("/>
                  <m:endChr m:val=")"/>
                  <m:sepChr m:val=""/>
                  <m:grow/>
                </m:dPr>
                <m:e>
                  <m:sSub>
                    <m:e>
                      <m:r>
                        <m:t>f</m:t>
                      </m:r>
                    </m:e>
                    <m:sub>
                      <m:r>
                        <m:t>i</m:t>
                      </m:r>
                    </m:sub>
                  </m:sSub>
                  <m:r>
                    <m:rPr>
                      <m:sty m:val="p"/>
                    </m:rPr>
                    <m:t>,</m:t>
                  </m:r>
                  <m:sSub>
                    <m:e>
                      <m:r>
                        <m:t>f</m:t>
                      </m:r>
                    </m:e>
                    <m:sub>
                      <m:r>
                        <m:t>j</m:t>
                      </m:r>
                    </m:sub>
                  </m:sSub>
                </m:e>
              </m:d>
              <m:r>
                <m:rPr>
                  <m:sty m:val="p"/>
                </m:rPr>
                <m:t>∣</m:t>
              </m:r>
              <m:r>
                <m:t>d</m:t>
              </m:r>
              <m:r>
                <m:t>i</m:t>
              </m:r>
              <m:r>
                <m:t>f</m:t>
              </m:r>
              <m:r>
                <m:t>f</m:t>
              </m:r>
              <m:r>
                <m:t>e</m:t>
              </m:r>
              <m:r>
                <m:t>r</m:t>
              </m:r>
              <m:r>
                <m:t>e</m:t>
              </m:r>
              <m:r>
                <m:t>n</m:t>
              </m:r>
              <m:r>
                <m:t>t</m:t>
              </m:r>
            </m:e>
          </m:d>
          <m:r>
            <m:rPr>
              <m:sty m:val="p"/>
            </m:rPr>
            <m:t>.</m:t>
          </m:r>
        </m:oMath>
      </m:oMathPara>
    </w:p>
    <w:p>
      <w:pPr>
        <w:pStyle w:val="FirstParagraph"/>
      </w:pPr>
      <w:r>
        <w:t xml:space="preserve">比较 E2/E3/E7 在真实场景的分布与闭环表现。高</w:t>
      </w:r>
      <w:r>
        <w:t xml:space="preserve"> </w:t>
      </w:r>
      <w:r>
        <w:rPr>
          <w:rStyle w:val="VerbatimChar"/>
        </w:rPr>
        <w:t xml:space="preserve">M_i^{same}</w:t>
      </w:r>
      <w:r>
        <w:t xml:space="preserve"> </w:t>
      </w:r>
      <w:r>
        <w:t xml:space="preserve">不一定意味着机器人动作更好，因为机器人也需要建模夹爪与目标之间的跨物体关系；因此分物体边界、操作阶段和 Query 位置分析，避免单一“同实例越高越好”的武断解释。</w:t>
      </w:r>
    </w:p>
    <w:p>
      <w:pPr>
        <w:pStyle w:val="BodyText"/>
      </w:pPr>
      <w:r>
        <w:rPr>
          <w:b/>
          <w:bCs/>
        </w:rPr>
        <w:t xml:space="preserve">图3-10 RGB/Depth/Query/几何先验/GSA 轴向注意力对照（真实模型数据待填）</w:t>
      </w:r>
    </w:p>
    <w:p>
      <w:pPr>
        <w:pStyle w:val="BodyText"/>
      </w:pPr>
      <w:r>
        <w:rPr>
          <w:b/>
          <w:bCs/>
        </w:rPr>
        <w:t xml:space="preserve">图3-11 GSA 前后实例内外特征相似度与差异图（待填）</w:t>
      </w:r>
    </w:p>
    <w:bookmarkEnd w:id="65"/>
    <w:bookmarkStart w:id="66" w:name="深度关联-tokenlearner-的表征分析"/>
    <w:p>
      <w:pPr>
        <w:pStyle w:val="Heading3"/>
      </w:pPr>
      <w:r>
        <w:t xml:space="preserve">3.6.10 深度关联 TokenLearner 的表征分析</w:t>
      </w:r>
    </w:p>
    <w:p>
      <w:pPr>
        <w:pStyle w:val="FirstParagraph"/>
      </w:pPr>
      <w:r>
        <w:t xml:space="preserve">对 E4、E5、E6 在相同观测下离线导出</w:t>
      </w:r>
      <w:r>
        <w:t xml:space="preserve"> </w:t>
      </w:r>
      <m:oMath>
        <m:r>
          <m:t>K</m:t>
        </m:r>
      </m:oMath>
      <w:r>
        <w:t xml:space="preserve"> </w:t>
      </w:r>
      <w:r>
        <w:t xml:space="preserve">个空间权重图、加权中心</w:t>
      </w:r>
      <w:r>
        <w:t xml:space="preserve"> </w:t>
      </w:r>
      <m:oMath>
        <m:d>
          <m:dPr>
            <m:begChr m:val="("/>
            <m:endChr m:val=")"/>
            <m:sepChr m:val=""/>
            <m:grow/>
          </m:dPr>
          <m:e>
            <m:acc>
              <m:accPr>
                <m:chr m:val="‾"/>
              </m:accPr>
              <m:e>
                <m:r>
                  <m:t>u</m:t>
                </m:r>
              </m:e>
            </m:acc>
            <m:r>
              <m:rPr>
                <m:sty m:val="p"/>
              </m:rPr>
              <m:t>,</m:t>
            </m:r>
            <m:acc>
              <m:accPr>
                <m:chr m:val="‾"/>
              </m:accPr>
              <m:e>
                <m:r>
                  <m:t>v</m:t>
                </m:r>
              </m:e>
            </m:acc>
          </m:e>
        </m:d>
      </m:oMath>
      <w:r>
        <w:t xml:space="preserve">、有效加权深度</w:t>
      </w:r>
      <w:r>
        <w:t xml:space="preserve"> </w:t>
      </w:r>
      <m:oMath>
        <m:acc>
          <m:accPr>
            <m:chr m:val="‾"/>
          </m:accPr>
          <m:e>
            <m:r>
              <m:t>d</m:t>
            </m:r>
          </m:e>
        </m:acc>
      </m:oMath>
      <w:r>
        <w:t xml:space="preserve"> </w:t>
      </w:r>
      <w:r>
        <w:t xml:space="preserve">及有效比例</w:t>
      </w:r>
      <w:r>
        <w:t xml:space="preserve"> </w:t>
      </w:r>
      <m:oMath>
        <m:r>
          <m:t>ρ</m:t>
        </m:r>
      </m:oMath>
      <w:r>
        <w:t xml:space="preserve">。在有实例 GT 时，设置预先固定的 Token—物体关联规则，例如按某 Token 权重与目标分割掩码的加权重叠比例选出目标相关 Token，并记录“没有合格目标 Token”的失败例子。对于关联成立的 Token，分别计算其重心与物体掩码投影中心的距离、加权深度与目标区域可见表面深度之间的差异。</w:t>
      </w:r>
    </w:p>
    <w:p>
      <w:pPr>
        <w:pStyle w:val="BodyText"/>
      </w:pPr>
      <w:r>
        <w:t xml:space="preserve">一个简化的示意计算是：某目标表面深度约为 0.40 m、背景约为 0.85 m；若 Token 权重的 55% 落在目标、45% 落在背景，则加权深度约 0.6025 m；若 90% 落在目标、10% 落在背景，则约 0.445 m。</w:t>
      </w:r>
      <w:r>
        <w:rPr>
          <w:b/>
          <w:bCs/>
        </w:rPr>
        <w:t xml:space="preserve">这只是验证为什么空间权重准确性影响深度聚合的算术例子，不是训练模型必然产生的权重或实测结果。</w:t>
      </w:r>
      <w:r>
        <w:t xml:space="preserve"> </w:t>
      </w:r>
      <w:r>
        <w:t xml:space="preserve">本研究必须直接从真实 E4/E6 checkpoint 导出权重并统计，才能检验 GSA 是否间接帮助几何 Token 对准目标。</w:t>
      </w:r>
    </w:p>
    <w:p>
      <w:pPr>
        <w:pStyle w:val="BodyText"/>
      </w:pPr>
      <w:r>
        <w:rPr>
          <w:b/>
          <w:bCs/>
        </w:rPr>
        <w:t xml:space="preserve">图3-12 八个 Token 的空间权重、中心与对应区域深度可视化（待实测生成）</w:t>
      </w:r>
    </w:p>
    <w:p>
      <w:pPr>
        <w:pStyle w:val="BodyText"/>
      </w:pPr>
      <w:r>
        <w:rPr>
          <w:b/>
          <w:bCs/>
        </w:rPr>
        <w:t xml:space="preserve">表3-7 Token 区域目标重叠、图像位置误差与测量深度误差（待填）</w:t>
      </w:r>
    </w:p>
    <w:bookmarkEnd w:id="66"/>
    <w:bookmarkStart w:id="67" w:name="从几何表征到动作误差的证据链"/>
    <w:p>
      <w:pPr>
        <w:pStyle w:val="Heading3"/>
      </w:pPr>
      <w:r>
        <w:t xml:space="preserve">3.6.11 从几何表征到动作误差的证据链</w:t>
      </w:r>
    </w:p>
    <w:p>
      <w:pPr>
        <w:pStyle w:val="FirstParagraph"/>
      </w:pPr>
      <w:r>
        <w:t xml:space="preserve">为解释算法性能的操作层含义，至少在 Threading D2、PegInsertionSide 和 StackCube 上记录相同 reset 状态下 E0/E1/E6 的真实 rollout。根据每个仿真任务实际可得的对象和末端位姿，定义可由 GT 计算的阶段误差，例如：抓取接近阶段的夹爪与目标对象中心的相对位置、插入阶段的插销轴向位姿与插孔目标位姿的偏差、方块放置后与目标堆叠位置的相对距离。研究动作与物体的真实执行轨迹，而不是仅比较视觉特征向量距离。</w:t>
      </w:r>
    </w:p>
    <w:p>
      <w:pPr>
        <w:pStyle w:val="BodyText"/>
      </w:pPr>
      <w:r>
        <w:t xml:space="preserve">例如，若插入任务提供插销和插孔的位姿，可定义</w:t>
      </w:r>
    </w:p>
    <w:p>
      <w:pPr>
        <w:pStyle w:val="BodyText"/>
      </w:pPr>
      <m:oMathPara>
        <m:oMathParaPr>
          <m:jc m:val="center"/>
        </m:oMathParaPr>
        <m:oMath>
          <m:sSub>
            <m:e>
              <m:r>
                <m:t>e</m:t>
              </m:r>
            </m:e>
            <m:sub>
              <m:r>
                <m:t>p</m:t>
              </m:r>
              <m:r>
                <m:t>o</m:t>
              </m:r>
              <m:r>
                <m:t>s</m:t>
              </m:r>
            </m:sub>
          </m:sSub>
          <m:d>
            <m:dPr>
              <m:begChr m:val="("/>
              <m:endChr m:val=")"/>
              <m:sepChr m:val=""/>
              <m:grow/>
            </m:dPr>
            <m:e>
              <m:r>
                <m:t>t</m:t>
              </m:r>
            </m:e>
          </m:d>
          <m:r>
            <m:rPr>
              <m:sty m:val="p"/>
            </m:rPr>
            <m:t>=</m:t>
          </m:r>
          <m:r>
            <m:rPr>
              <m:sty m:val="p"/>
            </m:rPr>
            <m:t>∥</m:t>
          </m:r>
          <m:sSub>
            <m:e>
              <m:r>
                <m:t>p</m:t>
              </m:r>
            </m:e>
            <m:sub>
              <m:r>
                <m:t>p</m:t>
              </m:r>
              <m:r>
                <m:t>e</m:t>
              </m:r>
              <m:r>
                <m:t>g</m:t>
              </m:r>
            </m:sub>
          </m:sSub>
          <m:d>
            <m:dPr>
              <m:begChr m:val="("/>
              <m:endChr m:val=")"/>
              <m:sepChr m:val=""/>
              <m:grow/>
            </m:dPr>
            <m:e>
              <m:r>
                <m:t>t</m:t>
              </m:r>
            </m:e>
          </m:d>
          <m:r>
            <m:rPr>
              <m:sty m:val="p"/>
            </m:rPr>
            <m:t>−</m:t>
          </m:r>
          <m:sSub>
            <m:e>
              <m:r>
                <m:t>p</m:t>
              </m:r>
            </m:e>
            <m:sub>
              <m:r>
                <m:t>g</m:t>
              </m:r>
              <m:r>
                <m:t>o</m:t>
              </m:r>
              <m:r>
                <m:t>a</m:t>
              </m:r>
              <m:r>
                <m:t>l</m:t>
              </m:r>
            </m:sub>
          </m:sSub>
          <m:d>
            <m:dPr>
              <m:begChr m:val="("/>
              <m:endChr m:val=")"/>
              <m:sepChr m:val=""/>
              <m:grow/>
            </m:dPr>
            <m:e>
              <m:r>
                <m:t>t</m:t>
              </m:r>
            </m:e>
          </m:d>
          <m:sSub>
            <m:e>
              <m:r>
                <m:rPr>
                  <m:sty m:val="p"/>
                </m:rPr>
                <m:t>∥</m:t>
              </m:r>
            </m:e>
            <m:sub>
              <m:r>
                <m:t>2</m:t>
              </m:r>
            </m:sub>
          </m:sSub>
          <m:r>
            <m:rPr>
              <m:sty m:val="p"/>
            </m:rPr>
            <m:t>,</m:t>
          </m:r>
        </m:oMath>
      </m:oMathPara>
    </w:p>
    <w:p>
      <w:pPr>
        <w:pStyle w:val="FirstParagraph"/>
      </w:pPr>
      <w:r>
        <w:t xml:space="preserve">并在必要时定义相对姿态误差</w:t>
      </w:r>
      <w:r>
        <w:t xml:space="preserve"> </w:t>
      </w:r>
      <m:oMath>
        <m:sSub>
          <m:e>
            <m:r>
              <m:t>e</m:t>
            </m:r>
          </m:e>
          <m:sub>
            <m:r>
              <m:t>r</m:t>
            </m:r>
            <m:r>
              <m:t>o</m:t>
            </m:r>
            <m:r>
              <m:t>t</m:t>
            </m:r>
          </m:sub>
        </m:sSub>
        <m:d>
          <m:dPr>
            <m:begChr m:val="("/>
            <m:endChr m:val=")"/>
            <m:sepChr m:val=""/>
            <m:grow/>
          </m:dPr>
          <m:e>
            <m:r>
              <m:t>t</m:t>
            </m:r>
          </m:e>
        </m:d>
      </m:oMath>
      <w:r>
        <w:t xml:space="preserve">。评价时仅将这些 GT 用于离线计算，不作为策略输入。每条典型案例保留同一初始状态下的完整视频、关键帧、控制命令、物体状态与成功标志。若任务没有官方定义或无法合理计算的“真实抓取点”，不可临时编造一个抓取误差指标。</w:t>
      </w:r>
    </w:p>
    <w:p>
      <w:pPr>
        <w:pStyle w:val="BodyText"/>
      </w:pPr>
      <w:r>
        <w:rPr>
          <w:b/>
          <w:bCs/>
        </w:rPr>
        <w:t xml:space="preserve">图3-13 对应初始化下不同方法的对准误差、动作轨迹及成功/失败对照（待填）</w:t>
      </w:r>
    </w:p>
    <w:bookmarkEnd w:id="67"/>
    <w:bookmarkStart w:id="68" w:name="深度干预推理时延与结果边界"/>
    <w:p>
      <w:pPr>
        <w:pStyle w:val="Heading3"/>
      </w:pPr>
      <w:r>
        <w:t xml:space="preserve">3.6.12 深度干预、推理时延与结果边界</w:t>
      </w:r>
    </w:p>
    <w:p>
      <w:pPr>
        <w:pStyle w:val="FirstParagraph"/>
      </w:pPr>
      <w:r>
        <w:t xml:space="preserve">在训练参数不变、相同初始状态下对完整 GSC-DP 追加 Depth 干预：局部无效深度、深度噪声、块级打乱、关闭 GSA depth prior、关闭 Token 深度字段等，比较成功率和空间误差变化。此类干预属于</w:t>
      </w:r>
      <w:r>
        <w:rPr>
          <w:b/>
          <w:bCs/>
        </w:rPr>
        <w:t xml:space="preserve">本文额外的 robustness study</w:t>
      </w:r>
      <w:r>
        <w:t xml:space="preserve">，与 Benchmark 原始标准分数分开报告。Depth 异常导致性能下降只能表明策略依赖深度输入，不能独立证明 GSA 对物体边界的具体机制。</w:t>
      </w:r>
    </w:p>
    <w:p>
      <w:pPr>
        <w:pStyle w:val="BodyText"/>
      </w:pPr>
      <w:r>
        <w:t xml:space="preserve">推理开销采用 batch=1、固定相机输入、GPU 同步计时；分别记录视觉编码</w:t>
      </w:r>
      <w:r>
        <w:t xml:space="preserve"> </w:t>
      </w:r>
      <m:oMath>
        <m:sSub>
          <m:e>
            <m:r>
              <m:t>T</m:t>
            </m:r>
          </m:e>
          <m:sub>
            <m:r>
              <m:t>v</m:t>
            </m:r>
            <m:r>
              <m:t>i</m:t>
            </m:r>
            <m:r>
              <m:t>s</m:t>
            </m:r>
          </m:sub>
        </m:sSub>
      </m:oMath>
      <w:r>
        <w:t xml:space="preserve">、扩散去噪</w:t>
      </w:r>
      <w:r>
        <w:t xml:space="preserve"> </w:t>
      </w:r>
      <m:oMath>
        <m:sSub>
          <m:e>
            <m:r>
              <m:t>T</m:t>
            </m:r>
          </m:e>
          <m:sub>
            <m:r>
              <m:t>d</m:t>
            </m:r>
            <m:r>
              <m:t>e</m:t>
            </m:r>
            <m:r>
              <m:t>n</m:t>
            </m:r>
            <m:r>
              <m:t>o</m:t>
            </m:r>
            <m:r>
              <m:t>i</m:t>
            </m:r>
            <m:r>
              <m:t>s</m:t>
            </m:r>
            <m:r>
              <m:t>e</m:t>
            </m:r>
          </m:sub>
        </m:sSub>
      </m:oMath>
      <w:r>
        <w:t xml:space="preserve">、完整规划</w:t>
      </w:r>
      <w:r>
        <w:t xml:space="preserve"> </w:t>
      </w:r>
      <m:oMath>
        <m:sSub>
          <m:e>
            <m:r>
              <m:t>T</m:t>
            </m:r>
          </m:e>
          <m:sub>
            <m:r>
              <m:t>p</m:t>
            </m:r>
            <m:r>
              <m:t>l</m:t>
            </m:r>
            <m:r>
              <m:t>a</m:t>
            </m:r>
            <m:r>
              <m:t>n</m:t>
            </m:r>
          </m:sub>
        </m:sSub>
      </m:oMath>
      <w:r>
        <w:t xml:space="preserve">、CPU 数据处理、峰值显存和参数量。H200 上的训练/rollout 可以并行提高吞吐，但</w:t>
      </w:r>
      <w:r>
        <w:rPr>
          <w:b/>
          <w:bCs/>
        </w:rPr>
        <w:t xml:space="preserve">公平时延测量要在独占 GPU 的隔离窗口重做</w:t>
      </w:r>
      <w:r>
        <w:t xml:space="preserve">，不能把并发负载下的延迟当成不同方法的计算代价。若 GSA/Token 的时间开销抵消了成功率增益，需要在正文中写明实际权衡。</w:t>
      </w:r>
    </w:p>
    <w:p>
      <w:pPr>
        <w:pStyle w:val="BodyText"/>
      </w:pPr>
      <w:r>
        <w:rPr>
          <w:b/>
          <w:bCs/>
        </w:rPr>
        <w:t xml:space="preserve">表3-8 目标操作误差及深度干预效果（待填）</w:t>
      </w:r>
    </w:p>
    <w:p>
      <w:pPr>
        <w:pStyle w:val="BodyText"/>
      </w:pPr>
      <w:r>
        <w:rPr>
          <w:b/>
          <w:bCs/>
        </w:rPr>
        <w:t xml:space="preserve">表3-9 模型参数量、视觉编码时间和完整动作规划时间（待填）</w:t>
      </w:r>
    </w:p>
    <w:p>
      <w:pPr>
        <w:pStyle w:val="BodyText"/>
      </w:pPr>
      <w:r>
        <w:t xml:space="preserve">本节最后应根据真实结果形成四项判定：第一，GSC-DP 对不同类型操作是否有效；第二，是否超过同源 RGB-D 直接融合和普通注意力；第三，GSA 与几何 Token 是否分别发挥作用且有可测交互；第四，注意力—区域几何—空间动作误差是否支持所提出的机理。论文可报告负结果或不显著结果，但不能因为该任务没有提升而事后改变 checkpoint 规则。</w:t>
      </w:r>
    </w:p>
    <w:bookmarkEnd w:id="68"/>
    <w:bookmarkEnd w:id="69"/>
    <w:bookmarkStart w:id="70" w:name="本章小结实测后完善"/>
    <w:p>
      <w:pPr>
        <w:pStyle w:val="Heading2"/>
      </w:pPr>
      <w:r>
        <w:t xml:space="preserve">3.7 本章小结（实测后完善）</w:t>
      </w:r>
    </w:p>
    <w:p>
      <w:pPr>
        <w:pStyle w:val="FirstParagraph"/>
      </w:pPr>
      <w:r>
        <w:t xml:space="preserve">本章面向以 CNN Diffusion Policy 为基础的 RGB-D 机器人操作学习问题，提出了 GSC-DP 的完整研究方案。第一个工作点借鉴 DFormerv2 的几何自注意力机制，将当前相机测量的深度差与空间关系用于 ResNet18 中间特征之间的交互，并通过单层残差接入保持原始动作扩散网络不变；第二个工作点借鉴 TokenLearner 的自适应空间特征选择，复用同一组空间权重对视觉表示、图像位置、测量深度及深度有效性进行聚合，构造局部视觉—几何联合条件。</w:t>
      </w:r>
    </w:p>
    <w:p>
      <w:pPr>
        <w:pStyle w:val="BodyText"/>
      </w:pPr>
      <w:r>
        <w:t xml:space="preserve">这两个工作点以连续信息流组织：GSA 影响 TokenLearner 的输入特征，TokenLearner 输出携带局部位置和距离信息的条件向量，后者经 FiLM 参与扩散动作的多步去噪。该机制为改善物体结构辨识、局部空间定位和后续动作生成提供了可检验的假设，但模型成功率提升不是由结构设计自动保证的。</w:t>
      </w:r>
    </w:p>
    <w:p>
      <w:pPr>
        <w:pStyle w:val="BodyText"/>
      </w:pPr>
      <w:r>
        <w:t xml:space="preserve">实验将使用 MimicGen 的 Stack Three D1、Threading D2、Coffee D2，以及 ManiSkill 3 的 StackCube 和 PegInsertionSide，采用各自有公开依据的训练/评测预算；所有方法在同任务内共享专家示范、官方成功标准和环境初始状态。除直接 CNN-DP 对照外，将比较 RGB-D CNN-DP、Transformer-DP、ACT、BC-RNN 和 DP3，并通过 E0–E7、编码器对照、示范规模变化、深度干预、GSA 特征与注意力统计、Token 深度误差、机器人空间误差和 H200 上的独占时延测量构建综合证据链。</w:t>
      </w:r>
    </w:p>
    <w:p>
      <w:pPr>
        <w:pStyle w:val="BodyText"/>
      </w:pPr>
      <w:r>
        <w:rPr>
          <w:b/>
          <w:bCs/>
        </w:rPr>
        <w:t xml:space="preserve">当前文档属于待实验验证的论文初稿。所有成功率、误差、显著性和训练耗时均应由真实 H200 实验记录补入。</w:t>
      </w:r>
      <w:r>
        <w:t xml:space="preserve"> </w:t>
      </w:r>
      <w:r>
        <w:t xml:space="preserve">待实测完成后，本节须加入本章主表中最关键的量化结论及失败适用边界，避免把预期结果写成既成事实。</w:t>
      </w:r>
    </w:p>
    <w:bookmarkEnd w:id="70"/>
    <w:bookmarkStart w:id="71" w:name="本章参考文献临时编号"/>
    <w:p>
      <w:pPr>
        <w:pStyle w:val="Heading2"/>
      </w:pPr>
      <w:r>
        <w:t xml:space="preserve">本章参考文献（临时编号）</w:t>
      </w:r>
    </w:p>
    <w:p>
      <w:pPr>
        <w:pStyle w:val="FirstParagraph"/>
      </w:pPr>
      <w:r>
        <w:t xml:space="preserve">[1] Chi C, Xu Z, Feng S, et al. Diffusion Policy: Visuomotor Policy Learning via Action Diffusion[C]. Robotics: Science and Systems (RSS), 2023.（亦发表于 International Journal of Robotics Research, 2025）. https://arxiv.org/abs/2303.04137.</w:t>
      </w:r>
    </w:p>
    <w:p>
      <w:pPr>
        <w:pStyle w:val="BodyText"/>
      </w:pPr>
      <w:r>
        <w:t xml:space="preserve">[2] Yin B W, Cao J L, Cheng M M, Hou Q. DFormerv2: Geometry Self-Attention for RGBD Semantic Segmentation[C]. Proceedings of the IEEE/CVF Conference on Computer Vision and Pattern Recognition (CVPR), 2025: 19345–19355. https://openaccess.thecvf.com/content/CVPR2025/html/Yin_DFormerv2_Geometry_Self-Attention_for_RGBD_Semantic_Segmentation_CVPR_2025_paper.html.</w:t>
      </w:r>
    </w:p>
    <w:p>
      <w:pPr>
        <w:pStyle w:val="BodyText"/>
      </w:pPr>
      <w:r>
        <w:t xml:space="preserve">[3] Ryoo M S, Piergiovanni A J, Arnab A, et al. TokenLearner: Adaptive Space-Time Tokenization for Videos[C]. Advances in Neural Information Processing Systems (NeurIPS), 2021. https://proceedings.neurips.cc/paper/2021/hash/6a30e32e56fce5cf381895dfe6ca7b6f-Abstract.html.</w:t>
      </w:r>
    </w:p>
    <w:p>
      <w:pPr>
        <w:pStyle w:val="BodyText"/>
      </w:pPr>
      <w:r>
        <w:t xml:space="preserve">[4] Finn C, Tan X Y, Duan Y, et al. Deep Spatial Autoencoders for Visuomotor Learning[C]. IEEE International Conference on Robotics and Automation (ICRA), 2016. https://arxiv.org/abs/1509.06113.</w:t>
      </w:r>
    </w:p>
    <w:p>
      <w:pPr>
        <w:pStyle w:val="BodyText"/>
      </w:pPr>
      <w:r>
        <w:rPr>
          <w:b/>
          <w:bCs/>
        </w:rPr>
        <w:t xml:space="preserve">代码来源与可复现性说明（不作为新的算法文献）</w:t>
      </w:r>
      <w:r>
        <w:t xml:space="preserve">：DFormerv2 官方实现：https://github.com/VCIP-RGBD/DFormer；TokenLearner 官方实现：https://github.com/google-research/scenic/tree/main/scenic/projects/token_learner；Diffusion Policy 官方实现：https://github.com/real-stanford/diffusion_policy。本文使用 GSA/TokenLearner 成熟技术并进行任务适配，不能宣称上述基础机制为本文原创。</w:t>
      </w:r>
    </w:p>
    <w:p>
      <w:pPr>
        <w:pStyle w:val="BodyText"/>
      </w:pPr>
      <w:r>
        <w:t xml:space="preserve">[5] Mandlekar A, Nasiriany S, Wen B, et al. MimicGen: A Data Generation System for Scalable Robot Learning using Human Demonstrations[C]. CoRL, 2023. https://mimicgen.github.io/.</w:t>
      </w:r>
    </w:p>
    <w:p>
      <w:pPr>
        <w:pStyle w:val="BodyText"/>
      </w:pPr>
      <w:r>
        <w:t xml:space="preserve">[6] Tao S, et al. ManiSkill 3: GPU Parallelized Robotics Simulation and Rendering for Generalizable Embodied AI[C]. Robotics: Science and Systems, 2025. 官方实现：https://github.com/mani-skill/ManiSkill。论文元信息以最终公开版本为准。</w:t>
      </w:r>
    </w:p>
    <w:p>
      <w:pPr>
        <w:pStyle w:val="BodyText"/>
      </w:pPr>
      <w:r>
        <w:t xml:space="preserve">[7] Wang D, Hart S, Surovik D, et al. Equivariant Diffusion Policy for Sample-Efficient Robotic Manipulation[J]. International Journal of Robotics Research, 2026. https://doi.org/10.1177/02783649261424445.</w:t>
      </w:r>
    </w:p>
    <w:p>
      <w:pPr>
        <w:pStyle w:val="BodyText"/>
      </w:pPr>
      <w:r>
        <w:t xml:space="preserve">[8] Zhao T Z, Kumar V, Levine S, Finn C. Learning Fine-Grained Bimanual Manipulation with Low-Cost Hardware[C]. RSS, 2023. https://github.com/tonyzhaozh/act.</w:t>
      </w:r>
    </w:p>
    <w:p>
      <w:pPr>
        <w:pStyle w:val="BodyText"/>
      </w:pPr>
      <w:r>
        <w:t xml:space="preserve">[9] Ze Y, et al. 3D Diffusion Policy: Generalizable Visuomotor Policy Learning via Simple 3D Representations[C]. RSS, 2024. https://github.com/YanjieZe/3D-Diffusion-Policy.</w:t>
      </w:r>
    </w:p>
    <w:p>
      <w:pPr>
        <w:pStyle w:val="BodyText"/>
      </w:pPr>
      <w:r>
        <w:rPr>
          <w:b/>
          <w:bCs/>
        </w:rPr>
        <w:t xml:space="preserve">本稿实验协议配置来源</w:t>
      </w:r>
      <w:r>
        <w:t xml:space="preserve">：MimicGen官方数据集 https://mimicgen.github.io/docs/datasets/mimicgen_corl_2023.html；MimicGen任务 Horizon https://github.com/NVlabs/mimicgen/blob/main/mimicgen/</w:t>
      </w:r>
      <w:r>
        <w:rPr>
          <w:b/>
          <w:bCs/>
        </w:rPr>
        <w:t xml:space="preserve">init</w:t>
      </w:r>
      <w:r>
        <w:t xml:space="preserve">.py；ManiSkill官方DP baseline https://github.com/mani-skill/ManiSkill/tree/main/examples/baselines/diffusion_policy；robomimic RGB-D转换 https://robomimic.github.io/docs/datasets/robosuite.html。</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41" Target="media/rId41.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2026-10-13T08:15:57Z</dcterms:created>
  <dcterms:modified xsi:type="dcterms:W3CDTF">2026-10-13T08:15:57Z</dcterms:modified>
</cp:coreProperties>
</file>

<file path=docProps/custom.xml><?xml version="1.0" encoding="utf-8"?>
<Properties xmlns="http://schemas.openxmlformats.org/officeDocument/2006/custom-properties" xmlns:vt="http://schemas.openxmlformats.org/officeDocument/2006/docPropsVTypes"/>
</file>