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99E3" w14:textId="06B947D9" w:rsidR="00447332" w:rsidRP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Schar M, Chan KWY, Huang J, Wei Z, Lu H, Qin Q, Weiss R, van Zijl PCM, Xu J. In vivo imaging of phosphocreatine with artificial neural networks. &lt;font color="#FF0000"&gt;&lt;b&gt;&lt;i&gt;Nature Communications&lt;/i&gt;&lt;/b&gt;&lt;/font&gt; 2020;11(1):1072.  &lt;b&gt;&lt;a href='https://doi.org/10.1038/s41467-020-14874-0' target="_blank"&gt;[Find paper here]&lt;/a&gt;&lt;/b&gt;&lt;br&gt;</w:t>
      </w:r>
    </w:p>
    <w:p w14:paraId="25D93A24"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Zhou Y, van Zijl PCM, Xu X, Xu J, Li Y, &lt;b&gt;Chen L&lt;/b&gt;, Yadav NN. Magnetic resonance imaging of glycogen using its magnetic coupling with water. &lt;font color="#FF0000"&gt;&lt;b&gt;&lt;i&gt;Proc Natl Acad Sci USA&lt;/i&gt;&lt;/b&gt;&lt;/font&gt; 2020;117(6),3144-3149.&lt;br&gt;</w:t>
      </w:r>
    </w:p>
    <w:p w14:paraId="2E737C8A"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602DF9A0" w14:textId="6CB5B565"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 xml:space="preserve">&lt;b&gt;Chen L*&lt;/b&gt;, Cao S, Koehler RC, van Zijl PCM, Xu J. High-sensitivity CEST mapping using a spatiotemporal correlation-enhanced method.  &lt;b&gt;&lt;i&gt;Magn Reson Med&lt;/i&gt;&lt;/b&gt; 2020; </w:t>
      </w:r>
      <w:hyperlink r:id="rId5" w:history="1">
        <w:r w:rsidRPr="0060370F">
          <w:rPr>
            <w:rStyle w:val="Hyperlink"/>
            <w:rFonts w:ascii="Times New Roman" w:hAnsi="Times New Roman" w:cs="Times New Roman"/>
            <w:noProof/>
            <w:sz w:val="20"/>
          </w:rPr>
          <w:t>https://doi.org/10.1002/mrm.28380.&lt;br</w:t>
        </w:r>
      </w:hyperlink>
      <w:r w:rsidRPr="00447332">
        <w:rPr>
          <w:rFonts w:ascii="Times New Roman" w:hAnsi="Times New Roman" w:cs="Times New Roman"/>
          <w:noProof/>
          <w:sz w:val="20"/>
        </w:rPr>
        <w:t>&gt;</w:t>
      </w:r>
    </w:p>
    <w:p w14:paraId="633BE325" w14:textId="45334124"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 xml:space="preserve">&lt;b&gt;Chen L#&lt;/b&gt;, Wei Z#, Chan KWY, Li Y, Suchal K, Bi S, Huang J, Xu X, Wong PC, Lu H, van Zijl PCM, Li T, Xu J. D-Glucose uptake and clearance in the tauopathy Alzheimer’s disease mouse brain detected by on-resonance variable delay multiple pulse MRI. &lt;b&gt;&lt;i&gt;Journal of Cerebral Blood Flow &amp; Metabolism&lt;/i&gt;&lt;/b&gt; 2020; </w:t>
      </w:r>
      <w:hyperlink r:id="rId6" w:history="1">
        <w:r w:rsidRPr="0060370F">
          <w:rPr>
            <w:rStyle w:val="Hyperlink"/>
            <w:rFonts w:ascii="Times New Roman" w:hAnsi="Times New Roman" w:cs="Times New Roman"/>
            <w:noProof/>
            <w:sz w:val="20"/>
          </w:rPr>
          <w:t>https://doi.org/10.1177/0271678X20941264.&lt;br</w:t>
        </w:r>
      </w:hyperlink>
      <w:r w:rsidRPr="00447332">
        <w:rPr>
          <w:rFonts w:ascii="Times New Roman" w:hAnsi="Times New Roman" w:cs="Times New Roman"/>
          <w:noProof/>
          <w:sz w:val="20"/>
        </w:rPr>
        <w:t>&gt;</w:t>
      </w:r>
    </w:p>
    <w:p w14:paraId="1EB4B95C"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Wei Z, Chan KWY, Cai S, Liu G, Lu H, Wong PC, van Zijl PCM, Li T, Xu J. Protein aggregation linked to Alzheimer's disease revealed by saturation transfer MRI. &lt;b&gt;&lt;i&gt;NeuroImage&lt;/i&gt;&lt;/b&gt; 2019;188:380-390.&lt;br&gt;</w:t>
      </w:r>
    </w:p>
    <w:p w14:paraId="02ADB716"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Wei Z, Cai S, Li Y, Liu G, Lu H, Weiss RG, van Zijl PCM, Xu J. High-resolution creatine mapping of mouse brain at 11.7 T using non-steady-state chemical exchange saturation transfer. &lt;b&gt;&lt;i&gt;NMR Biomed&lt;/i&gt;&lt;/b&gt; 2019;32(11):e4168.&lt;br&gt;</w:t>
      </w:r>
    </w:p>
    <w:p w14:paraId="0ABF3504"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Barker PB, Weiss RG, van Zijl PCM, Xu J. Creatine and phosphocreatine mapping of mouse skeletal muscle by a polynomial and Lorentzian line-shape fitting CEST method. &lt;b&gt;&lt;i&gt;Magn Reson Med&lt;/i&gt;&lt;/b&gt; 2019;81(1):69-78.&lt;br&gt;</w:t>
      </w:r>
    </w:p>
    <w:p w14:paraId="7B5E7CBA"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Xu X, Zeng H, Chan KWY, Yadav N, Cai S, Schunke KJ, Faraday N, van Zijl PCM, Xu J. Separating fast and slow exchange transfer and magnetization transfer using off-resonance variable-delay multiple-pulse (VDMP) MRI. &lt;b&gt;&lt;i&gt;Magn Reson Med&lt;/i&gt;&lt;/b&gt; 2018;80(4):1568-1576. &lt;font color="#FF0000"&gt;&lt;b&gt;(Editor’s Pick)&lt;/b&gt;&lt;/font&gt; &lt;br&gt;</w:t>
      </w:r>
    </w:p>
    <w:p w14:paraId="42362C80"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Zeng H, Xu X, Yadav NN, Cai S, Puts NA, Barker PB, Li T, Weiss RG, van Zijl PCM, Xu J. Investigation of the contribution of total creatine to the CEST Z-spectrum of brain using a knockout mouse model. &lt;b&gt;&lt;i&gt;NMR Biomed&lt;/i&gt;&lt;/b&gt; 2017;30(12):e3834.&lt;br&gt;</w:t>
      </w:r>
    </w:p>
    <w:p w14:paraId="62CC1368"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Huang J, Zhang T, Li J, Cai C, Cai S. Variable density sampling and non-Cartesian super-resolved reconstruction for spatiotemporally encoded single-shot MRI. &lt;b&gt;&lt;i&gt;J Magn Reson&lt;/i&gt;&lt;/b&gt; 2016;272:1-9. &lt;font color="#FF0000"&gt;&lt;b&gt;(Cover Article)&lt;/b&gt;&lt;/font&gt; &lt;br&gt;</w:t>
      </w:r>
    </w:p>
    <w:p w14:paraId="4E5141C5"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Li J, Zhang M, Cai S, Zhang T, Cai C, Chen Z. Super-resolved enhancing and edge deghosting (SEED) for spatiotemporally encoded single-shot MRI. &lt;b&gt;&lt;i&gt;Med Image Anal&lt;/i&gt;&lt;/b&gt; 2015;23(1):1-14.&lt;br&gt;</w:t>
      </w:r>
    </w:p>
    <w:p w14:paraId="4B4DD3F0" w14:textId="791A8CFA" w:rsidR="0089702D" w:rsidRDefault="00447332" w:rsidP="0089702D">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&lt;b&gt;Chen L&lt;/b&gt;, Bao L, Li J, Cai S, Cai C, Chen Z. An aliasing artifacts reducing approach with random undersampling for spatiotemporally encoded single-shot MRI. &lt;b&gt;&lt;i&gt;J Magn Reson&lt;/i&gt;&lt;/b&gt; 2013;237:115-124.&lt;br&gt;</w:t>
      </w:r>
    </w:p>
    <w:p w14:paraId="0A9F5C51" w14:textId="77777777" w:rsidR="00D95760" w:rsidRDefault="00D95760" w:rsidP="00D95760">
      <w:pPr>
        <w:pStyle w:val="ListParagraph"/>
        <w:ind w:left="360"/>
        <w:rPr>
          <w:rFonts w:ascii="Times New Roman" w:hAnsi="Times New Roman" w:cs="Times New Roman" w:hint="eastAsia"/>
          <w:noProof/>
          <w:sz w:val="20"/>
        </w:rPr>
      </w:pPr>
    </w:p>
    <w:p w14:paraId="3E32A4E3" w14:textId="77777777" w:rsidR="0089702D" w:rsidRDefault="0089702D" w:rsidP="0089702D">
      <w:pPr>
        <w:pStyle w:val="ListParagraph"/>
        <w:ind w:left="360"/>
        <w:rPr>
          <w:rFonts w:ascii="Times New Roman" w:hAnsi="Times New Roman" w:cs="Times New Roman" w:hint="eastAsia"/>
          <w:noProof/>
          <w:sz w:val="20"/>
        </w:rPr>
      </w:pPr>
    </w:p>
    <w:p w14:paraId="22F8F324" w14:textId="11DFA1C6" w:rsidR="0089702D" w:rsidRPr="0089702D" w:rsidRDefault="0089702D" w:rsidP="0089702D">
      <w:pPr>
        <w:pStyle w:val="ListParagraph"/>
        <w:numPr>
          <w:ilvl w:val="0"/>
          <w:numId w:val="3"/>
        </w:numPr>
        <w:rPr>
          <w:rFonts w:ascii="Times New Roman" w:hAnsi="Times New Roman" w:cs="Times New Roman" w:hint="eastAsia"/>
          <w:noProof/>
          <w:sz w:val="20"/>
        </w:rPr>
      </w:pPr>
      <w:r w:rsidRPr="0089702D">
        <w:rPr>
          <w:rFonts w:ascii="Times New Roman" w:hAnsi="Times New Roman" w:cs="Times New Roman"/>
          <w:noProof/>
          <w:sz w:val="20"/>
        </w:rPr>
        <w:t>Ning B, Guo G, Gu C, Xu J, Bibic A, He X, Liu H,&lt;b&gt;Chen L&lt;/b&gt;, Wei Z, Duan W, Liu P, Lu H, van Zijl PCM, Ross CA, Smith W, Hua J. Mutant G2019S-LRRK2 Induces Abnormalities in Arteriolar Cerebral Blood Volume in Mouse Brains: An MRI Study. &lt;b&gt;&lt;i&gt;Neurodegener Dis&lt;/i&gt;&lt;/b&gt; 2020:1-8.&lt;br&gt;</w:t>
      </w:r>
    </w:p>
    <w:p w14:paraId="42D319B6" w14:textId="2BA13C0D"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 xml:space="preserve">Huang J, Han X, &lt;b&gt;Chen L&lt;/b&gt;, Xu X, Xu J, Chan KWY. Relayed nuclear Overhauser enhancement imaging with magnetization transfer contrast suppression at 3 T. &lt;b&gt;&lt;i&gt;Magn Reson Med&lt;/i&gt;&lt;/b&gt; 2020; </w:t>
      </w:r>
      <w:hyperlink r:id="rId7" w:history="1">
        <w:r w:rsidRPr="0060370F">
          <w:rPr>
            <w:rStyle w:val="Hyperlink"/>
            <w:rFonts w:ascii="Times New Roman" w:hAnsi="Times New Roman" w:cs="Times New Roman"/>
            <w:noProof/>
            <w:sz w:val="20"/>
          </w:rPr>
          <w:t>http://dx.doi.org/10.1002/mrm.28433.&lt;br</w:t>
        </w:r>
      </w:hyperlink>
      <w:r w:rsidRPr="00447332">
        <w:rPr>
          <w:rFonts w:ascii="Times New Roman" w:hAnsi="Times New Roman" w:cs="Times New Roman"/>
          <w:noProof/>
          <w:sz w:val="20"/>
        </w:rPr>
        <w:t>&gt;</w:t>
      </w:r>
    </w:p>
    <w:p w14:paraId="6B3537CD"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Wei Z, &lt;b&gt;Chen L&lt;/b&gt;, Hou X, van Zijl PCM, Xu J, Lu H. Age-Related Alterations in Brain Perfusion, Venous Oxygenation, and Oxygen Metabolic Rate of Mice: A 17-Month Longitudinal MRI Study. &lt;b&gt;&lt;i&gt;Frontiers in Neurology&lt;/i&gt;&lt;/b&gt; 2020;11(559)&lt;br&gt;</w:t>
      </w:r>
    </w:p>
    <w:p w14:paraId="1D16D8D8"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Huang J, &lt;b&gt;Chen L&lt;/b&gt;, Chan KWY, Cai C, Cai S, Chen Z. Super-resolved water/fat image reconstruction based on single-shot spatiotemporally encoded MRI. &lt;b&gt;&lt;i&gt;J Magn Reson&lt;/i&gt;&lt;/b&gt; 2020;314:106736.&lt;br&gt;</w:t>
      </w:r>
    </w:p>
    <w:p w14:paraId="54237A51"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 xml:space="preserve">Xu X, Xu J, Chan KWY, Liu J, Liu H, Li Y, &lt;b&gt;Chen L&lt;/b&gt;, Liu G, van Zijl PCM. GlucoCEST imaging with </w:t>
      </w:r>
      <w:r w:rsidRPr="00447332">
        <w:rPr>
          <w:rFonts w:ascii="Times New Roman" w:hAnsi="Times New Roman" w:cs="Times New Roman"/>
          <w:noProof/>
          <w:sz w:val="20"/>
        </w:rPr>
        <w:lastRenderedPageBreak/>
        <w:t>on-resonance variable delay multiple pulse (onVDMP) MRI. &lt;b&gt;&lt;i&gt;Magn Reson Med&lt;/i&gt;&lt;/b&gt; 2019;81(1):47-56.&lt;br&gt;</w:t>
      </w:r>
    </w:p>
    <w:p w14:paraId="0B9F1B58"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Wei Z, &lt;b&gt;Chen L&lt;/b&gt;, Lin Z, Jiang D, Xu J, Liu P, van Zijl PCM, Lu H. Optimization of phase-contrast MRI for the estimation of global cerebral blood flow of mice at 11.7T. &lt;b&gt;&lt;i&gt;Magn Reson Med&lt;/i&gt;&lt;/b&gt; 2019;81(4):2566-2575.&lt;br&gt;</w:t>
      </w:r>
    </w:p>
    <w:p w14:paraId="7B6B079C"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Wei Z, Xu J, Liu P, &lt;b&gt;Chen L&lt;/b&gt;, Li W, van Zijl P, Lu H. Quantitative assessment of cerebral venous blood T2 in mouse at 11.7T: Implementation, optimization, and age effect. &lt;b&gt;&lt;i&gt;Magn Reson Med&lt;/i&gt;&lt;/b&gt; 2018;80(2):521-528.&lt;br&gt;</w:t>
      </w:r>
    </w:p>
    <w:p w14:paraId="53B81452"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Luo Y, Zhang J, &lt;b&gt;Chen L&lt;/b&gt;, Cai S, Cai C. Accelerating multi-slice spatiotemporally encoded MRI with simultaneous echo refocusing. &lt;b&gt;&lt;i&gt;J Magn Reson&lt;/i&gt;&lt;/b&gt; 2018;296:12-22.&lt;br&gt;</w:t>
      </w:r>
    </w:p>
    <w:p w14:paraId="2626AD86"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Ye Q, &lt;b&gt;Chen L&lt;/b&gt;, Qiu W, Lin L, Sun H, Cai S, Wei Z, Chen Z. Accelerating two-dimensional nuclear magnetic resonance correlation spectroscopy via selective coherence transfer. &lt;b&gt;&lt;i&gt;J Chem Phys&lt;/i&gt;&lt;/b&gt; 2017;146(1):014202.&lt;br&gt;</w:t>
      </w:r>
    </w:p>
    <w:p w14:paraId="5326996D"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Huang J, Zhang M, Lu J, Cai C, &lt;b&gt;Chen L&lt;/b&gt;, Cai S. A fast chemical exchange saturation transfer imaging scheme based on single-shot spatiotemporal encoding. &lt;b&gt;&lt;i&gt;Magn Reson Med&lt;/i&gt;&lt;/b&gt; 2017;77(5):1786-1796.&lt;br&gt;</w:t>
      </w:r>
    </w:p>
    <w:p w14:paraId="40EACB48"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Zhang T, &lt;b&gt;Chen L&lt;/b&gt;, Huang J, Li J, Cai S, Cai C, Chen Z. Ultrafast multi-slice spatiotemporally encoded MRI with slice-selective dimension segmented. &lt;b&gt;&lt;i&gt;J Magn Reson&lt;/i&gt;&lt;/b&gt; 2016;269:138-145.&lt;br&gt;</w:t>
      </w:r>
    </w:p>
    <w:p w14:paraId="1DD0FBDC"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Wei ZL, Yang J, Chen YH, &lt;b&gt;Chen L&lt;/b&gt;, Cao SH, Cai SH, Lin YQ, Chen Z. Ultrafast multidimensional nuclear magnetic resonance technique: A proof of concept based on inverse-k-space for convenient and efficient performance. &lt;b&gt;&lt;i&gt;Applied Physics Letters&lt;/i&gt;&lt;/b&gt; 2016;108(8):084102.&lt;br&gt;</w:t>
      </w:r>
    </w:p>
    <w:p w14:paraId="11285B4C"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Li A-H, Lü M, Yang J, &lt;b&gt;Chen L&lt;/b&gt;, Cui X, Sun Z. Upconversion-luminescent/magnetic dual-functional sub-20-nm core-shell SrF_2: Yb, Tm@ CaF_2: Gd heteronanoparticles. &lt;b&gt;&lt;i&gt;Dalton Trans&lt;/i&gt;&lt;/b&gt; 2016;45:5800-5807.&lt;br&gt;</w:t>
      </w:r>
    </w:p>
    <w:p w14:paraId="6E2AA967"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Li J, Zhang M, &lt;b&gt;Chen L&lt;/b&gt;, Cai C, Sun H, Cai S. Reduced field-of-view imaging for single-shot MRI with an amplitude-modulated chirp pulse excitation and Fourier transform reconstruction. &lt;b&gt;&lt;i&gt;Magn Reson Imaging&lt;/i&gt;&lt;/b&gt; 2015;33(5):503-515.&lt;br&gt;</w:t>
      </w:r>
    </w:p>
    <w:p w14:paraId="365587E7"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Li J, &lt;b&gt;Chen L&lt;/b&gt;, Cai S, Cai C, Zhong J, Chen Z. Imaging with referenceless distortion correction and flexible regions of interest using single-shot biaxial spatiotemporally encoded MRI. &lt;b&gt;&lt;i&gt;NeuroImage&lt;/i&gt;&lt;/b&gt; 2015;105(1):93-111.&lt;br&gt;</w:t>
      </w:r>
    </w:p>
    <w:p w14:paraId="7B37B02E" w14:textId="77777777" w:rsid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Li J, Cai CB, &lt;b&gt;Chen L&lt;/b&gt;, Chen Y, Qu XB, Cai SH. Flexible reduced field of view magnetic resonance imaging based on single-shot spatiotemporally encoded technique. &lt;b&gt;&lt;i&gt;Chinese Physics B&lt;/i&gt;&lt;/b&gt; 2015;24(10):108703.&lt;br&gt;</w:t>
      </w:r>
    </w:p>
    <w:p w14:paraId="22EF6CAB" w14:textId="35B4FC16" w:rsidR="00F84DCA" w:rsidRPr="00447332" w:rsidRDefault="00447332" w:rsidP="00447332">
      <w:pPr>
        <w:pStyle w:val="ListParagraph"/>
        <w:numPr>
          <w:ilvl w:val="0"/>
          <w:numId w:val="3"/>
        </w:numPr>
        <w:rPr>
          <w:rFonts w:ascii="Times New Roman" w:hAnsi="Times New Roman" w:cs="Times New Roman"/>
          <w:noProof/>
          <w:sz w:val="20"/>
        </w:rPr>
      </w:pPr>
      <w:r w:rsidRPr="00447332">
        <w:rPr>
          <w:rFonts w:ascii="Times New Roman" w:hAnsi="Times New Roman" w:cs="Times New Roman"/>
          <w:noProof/>
          <w:sz w:val="20"/>
        </w:rPr>
        <w:t>Chen Y, Li J, Qu X, &lt;b&gt;Chen L&lt;/b&gt;, Cai C, Cai S, Zhong J, Chen Z. Partial Fourier transform reconstruction for single-shot MRI with linear frequency-swept excitation. &lt;b&gt;&lt;i&gt;Magn Reson Med&lt;/i&gt;&lt;/b&gt; 2013;69(5):1326-1336.&lt;br&gt;</w:t>
      </w:r>
    </w:p>
    <w:sectPr w:rsidR="00F84DCA" w:rsidRPr="0044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53D3A"/>
    <w:multiLevelType w:val="hybridMultilevel"/>
    <w:tmpl w:val="626C45DE"/>
    <w:lvl w:ilvl="0" w:tplc="2250A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wUA5qRwPiwAAAA="/>
    <w:docVar w:name="EN.InstantFormat" w:val="&lt;ENInstantFormat&gt;&lt;Enabled&gt;1&lt;/Enabled&gt;&lt;ScanUnformatted&gt;1&lt;/ScanUnformatted&gt;&lt;ScanChanges&gt;1&lt;/ScanChanges&gt;&lt;Suspended&gt;1&lt;/Suspended&gt;&lt;/ENInstantFormat&gt;"/>
  </w:docVars>
  <w:rsids>
    <w:rsidRoot w:val="00576683"/>
    <w:rsid w:val="001535C6"/>
    <w:rsid w:val="001679FB"/>
    <w:rsid w:val="00172BB4"/>
    <w:rsid w:val="001E4329"/>
    <w:rsid w:val="002E4887"/>
    <w:rsid w:val="00322CA6"/>
    <w:rsid w:val="0034534E"/>
    <w:rsid w:val="00354F21"/>
    <w:rsid w:val="00397479"/>
    <w:rsid w:val="003C39F6"/>
    <w:rsid w:val="00447332"/>
    <w:rsid w:val="005406A6"/>
    <w:rsid w:val="00576683"/>
    <w:rsid w:val="00711B04"/>
    <w:rsid w:val="007B66B7"/>
    <w:rsid w:val="007D1013"/>
    <w:rsid w:val="0089702D"/>
    <w:rsid w:val="00973418"/>
    <w:rsid w:val="00990BED"/>
    <w:rsid w:val="009936ED"/>
    <w:rsid w:val="00A52ACB"/>
    <w:rsid w:val="00A56307"/>
    <w:rsid w:val="00B14E32"/>
    <w:rsid w:val="00B70C00"/>
    <w:rsid w:val="00B9439B"/>
    <w:rsid w:val="00CE6533"/>
    <w:rsid w:val="00CF48A2"/>
    <w:rsid w:val="00D01761"/>
    <w:rsid w:val="00D95760"/>
    <w:rsid w:val="00DC4235"/>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 w:type="character" w:styleId="Hyperlink">
    <w:name w:val="Hyperlink"/>
    <w:basedOn w:val="DefaultParagraphFont"/>
    <w:uiPriority w:val="99"/>
    <w:unhideWhenUsed/>
    <w:rsid w:val="00447332"/>
    <w:rPr>
      <w:color w:val="0000FF" w:themeColor="hyperlink"/>
      <w:u w:val="single"/>
    </w:rPr>
  </w:style>
  <w:style w:type="character" w:styleId="UnresolvedMention">
    <w:name w:val="Unresolved Mention"/>
    <w:basedOn w:val="DefaultParagraphFont"/>
    <w:uiPriority w:val="99"/>
    <w:semiHidden/>
    <w:unhideWhenUsed/>
    <w:rsid w:val="00447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02/mrm.28433.%3c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271678X20941264.%3cbr" TargetMode="External"/><Relationship Id="rId5" Type="http://schemas.openxmlformats.org/officeDocument/2006/relationships/hyperlink" Target="https://doi.org/10.1002/mrm.28380.%3c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27</cp:revision>
  <dcterms:created xsi:type="dcterms:W3CDTF">2020-06-21T13:28:00Z</dcterms:created>
  <dcterms:modified xsi:type="dcterms:W3CDTF">2020-12-04T12:41:00Z</dcterms:modified>
</cp:coreProperties>
</file>