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60"/>
        <w:jc w:val="center"/>
      </w:pPr>
      <w:r>
        <w:rPr>
          <w:rFonts w:ascii="Microsoft YaHei" w:hAnsi="Microsoft YaHei" w:eastAsia="Microsoft YaHei"/>
          <w:b/>
          <w:color w:val="1F4E79"/>
          <w:sz w:val="48"/>
        </w:rPr>
        <w:t>职途智航成果实施技术文档</w:t>
      </w:r>
    </w:p>
    <w:p>
      <w:pPr>
        <w:spacing w:after="360"/>
        <w:jc w:val="center"/>
      </w:pPr>
      <w:r>
        <w:rPr>
          <w:rFonts w:ascii="Microsoft YaHei" w:hAnsi="Microsoft YaHei" w:eastAsia="Microsoft YaHei"/>
          <w:b w:val="0"/>
          <w:color w:val="5B6573"/>
          <w:sz w:val="24"/>
        </w:rPr>
        <w:t>成都信息工程大学就业择业规划智能体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7610"/>
      </w:tblGrid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24D"/>
                <w:sz w:val="20"/>
              </w:rPr>
              <w:t>版本</w:t>
            </w:r>
          </w:p>
        </w:tc>
        <w:tc>
          <w:tcPr>
            <w:tcW w:type="dxa" w:w="7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20"/>
              </w:rPr>
              <w:t>v1.0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24D"/>
                <w:sz w:val="20"/>
              </w:rPr>
              <w:t>部署范围</w:t>
            </w:r>
          </w:p>
        </w:tc>
        <w:tc>
          <w:tcPr>
            <w:tcW w:type="dxa" w:w="7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20"/>
              </w:rPr>
              <w:t>本地 PostgreSQL 脱敏演示环境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24D"/>
                <w:sz w:val="20"/>
              </w:rPr>
              <w:t>日期</w:t>
            </w:r>
          </w:p>
        </w:tc>
        <w:tc>
          <w:tcPr>
            <w:tcW w:type="dxa" w:w="7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20"/>
              </w:rPr>
              <w:t>2026-07-23</w:t>
            </w:r>
          </w:p>
        </w:tc>
      </w:tr>
    </w:tbl>
    <w:p>
      <w:pPr>
        <w:spacing w:after="40"/>
      </w:pPr>
    </w:p>
    <w:p>
      <w:pPr>
        <w:pStyle w:val="Heading1"/>
      </w:pPr>
      <w:r>
        <w:t>一、技术目标</w:t>
      </w:r>
    </w:p>
    <w:p>
      <w:r>
        <w:rPr>
          <w:rFonts w:ascii="Microsoft YaHei" w:hAnsi="Microsoft YaHei" w:eastAsia="Microsoft YaHei"/>
          <w:b w:val="0"/>
          <w:color w:val="17324D"/>
          <w:sz w:val="22"/>
        </w:rPr>
        <w:t>项目实现一个可本地部署、可演示、可审计的高校就业择业规划智能体。系统支持学生职业规划闭环、教师授权协助和管理员资料治理，同时避免将数据库凭据、平台密钥或非必要学生信息暴露给浏览器与模型平台。</w:t>
      </w:r>
    </w:p>
    <w:p>
      <w:pPr>
        <w:pStyle w:val="Heading1"/>
      </w:pPr>
      <w:r>
        <w:t>二、总体架构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Ind w:w="120" w:type="dxa"/>
      </w:tblPr>
      <w:tblGrid>
        <w:gridCol w:w="1550"/>
        <w:gridCol w:w="3050"/>
        <w:gridCol w:w="4760"/>
      </w:tblGrid>
      <w:t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1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层级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1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采用技术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1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职责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前端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React、TypeScript、Vite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学生、教师、管理员工作台与响应式界面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后端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FastAPI、Pydantic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接口、输入校验、权限控制和安全响应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数据访问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SQLAlchemy 2、Alembic、psycopg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PostgreSQL 模型、迁移、事务和索引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智能体适配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SF-FastGPT Chat Completions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工作流路由、资料来源归一化和安全降级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数据治理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CSV 台账与 Markdown 规范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模拟岗位、资料来源、审核状态和使用边界</w:t>
            </w:r>
          </w:p>
        </w:tc>
      </w:tr>
    </w:tbl>
    <w:p>
      <w:pPr>
        <w:spacing w:after="40"/>
      </w:pPr>
    </w:p>
    <w:p>
      <w:pPr>
        <w:pStyle w:val="Heading1"/>
      </w:pPr>
      <w:r>
        <w:t>三、关键实现</w:t>
      </w:r>
    </w:p>
    <w:p>
      <w:pPr>
        <w:pStyle w:val="Heading2"/>
      </w:pPr>
      <w:r>
        <w:t>3.1 三角色权限</w:t>
      </w:r>
    </w:p>
    <w:p>
      <w:r>
        <w:rPr>
          <w:rFonts w:ascii="Microsoft YaHei" w:hAnsi="Microsoft YaHei" w:eastAsia="Microsoft YaHei"/>
          <w:b w:val="0"/>
          <w:color w:val="17324D"/>
          <w:sz w:val="22"/>
        </w:rPr>
        <w:t>学生只能读写自己的职业画像、匹配结果和行动计划。教师需要管理员显式授权才能查看某位学生的职业摘要、计划状态和本人意见。管理员可维护授权并查看岗位、资料审核字段以及脱敏审计，但不能读取完整画像、意见正文、数据库连接串或 FastGPT 密钥。</w:t>
      </w:r>
    </w:p>
    <w:p>
      <w:r>
        <w:rPr>
          <w:rFonts w:ascii="Microsoft YaHei" w:hAnsi="Microsoft YaHei" w:eastAsia="Microsoft YaHei"/>
          <w:b w:val="0"/>
          <w:color w:val="17324D"/>
          <w:sz w:val="22"/>
        </w:rPr>
        <w:t>演示登录使用服务端内存会话，不保存密码；令牌重启后失效，最长有效期为 8 小时。所有越权访问都记录为仅含角色、操作、资源类型、资源标识和时间的脱敏审计事件。</w:t>
      </w:r>
    </w:p>
    <w:p>
      <w:pPr>
        <w:pStyle w:val="Heading2"/>
      </w:pPr>
      <w:r>
        <w:t>3.2 可解释岗位匹配</w:t>
      </w:r>
    </w:p>
    <w:p>
      <w:r>
        <w:rPr>
          <w:rFonts w:ascii="Microsoft YaHei" w:hAnsi="Microsoft YaHei" w:eastAsia="Microsoft YaHei"/>
          <w:b w:val="0"/>
          <w:color w:val="17324D"/>
          <w:sz w:val="22"/>
        </w:rPr>
        <w:t>岗位匹配为不依赖大模型的确定性服务，只从已发布、未过期且有来源标题的岗位中选择。总分为 100 分：技能 50 分、专业 20 分、项目 15 分、目标城市 5 分、目标岗位 10 分。服务返回分项得分、未满足技能、岗位来源与稳定排序。</w:t>
      </w:r>
    </w:p>
    <w:p>
      <w:pPr>
        <w:pStyle w:val="Heading2"/>
      </w:pPr>
      <w:r>
        <w:t>3.3 SF-FastGPT 工作流</w:t>
      </w:r>
    </w:p>
    <w:p>
      <w:r>
        <w:rPr>
          <w:rFonts w:ascii="Microsoft YaHei" w:hAnsi="Microsoft YaHei" w:eastAsia="Microsoft YaHei"/>
          <w:b w:val="0"/>
          <w:color w:val="17324D"/>
          <w:sz w:val="22"/>
        </w:rPr>
        <w:t>后端为职业咨询与政策咨询定义统一响应契约，包含回答、来源、免责声明、人工兜底标记和运行模式。职业与政策工作流分别映射到服务端环境变量中的工作流 ID，前端不保存平台地址、密钥或工作流 ID。</w:t>
      </w:r>
    </w:p>
    <w:p>
      <w:r>
        <w:rPr>
          <w:rFonts w:ascii="Microsoft YaHei" w:hAnsi="Microsoft YaHei" w:eastAsia="Microsoft YaHei"/>
          <w:b w:val="0"/>
          <w:color w:val="17324D"/>
          <w:sz w:val="22"/>
        </w:rPr>
        <w:t>当运行在 mock 模式时，系统返回统一的本地人工确认建议。切换为真实模式后，服务端向可配置的 Chat Completions 路径发送最小化问题与上下文。平台请求失败、格式异常或没有可信来源时，系统转为人工确认。</w:t>
      </w:r>
    </w:p>
    <w:p>
      <w:pPr>
        <w:pStyle w:val="Heading2"/>
      </w:pPr>
      <w:r>
        <w:t>3.4 数据与隐私边界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Ind w:w="120" w:type="dxa"/>
      </w:tblPr>
      <w:tblGrid>
        <w:gridCol w:w="2100"/>
        <w:gridCol w:w="7260"/>
      </w:tblGrid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1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边界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1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控制措施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最小化采集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不保存或推断电话、邮箱、学号、性别、籍贯、健康、政治面貌、家庭情况和完整成绩单。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资料可信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岗位与知识资料必须具备来源、日期、状态和适用范围；无来源资料不能进入推荐。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密钥隔离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数据库 URL、API Key 与工作流 ID 仅存在于 .env 或部署环境。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演示边界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当前岗位为模拟数据，不得作为真实招聘承诺或上传为真实招聘知识。</w:t>
            </w:r>
          </w:p>
        </w:tc>
      </w:tr>
    </w:tbl>
    <w:p>
      <w:pPr>
        <w:spacing w:after="40"/>
      </w:pPr>
    </w:p>
    <w:p>
      <w:pPr>
        <w:pStyle w:val="Heading1"/>
      </w:pPr>
      <w:r>
        <w:t>四、部署与运行</w:t>
      </w:r>
    </w:p>
    <w:p>
      <w:r>
        <w:rPr>
          <w:rFonts w:ascii="Microsoft YaHei" w:hAnsi="Microsoft YaHei" w:eastAsia="Microsoft YaHei"/>
          <w:b w:val="0"/>
          <w:color w:val="17324D"/>
          <w:sz w:val="22"/>
        </w:rPr>
        <w:t>前置条件包括 Node.js、PostgreSQL 14+、位于 backend/.venv 的 Python 虚拟环境，以及根目录 .env 中已配置的 PostgreSQL DATABASE_URL。真实 SF-FastGPT 联调另需平台地址、服务端 API Key 和两个工作流 ID。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Ind w:w="120" w:type="dxa"/>
      </w:tblPr>
      <w:tblGrid>
        <w:gridCol w:w="2200"/>
        <w:gridCol w:w="7160"/>
      </w:tblGrid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1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步骤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1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命令或操作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数据库迁移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设置 PYTHONPATH=backend 后执行 alembic upgrade head。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启动后端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使用 uvicorn 启动 app.main:app，端口 8000。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启动前端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在 frontend 目录执行 npm run dev -- --port 5174。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真实联调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配置平台参数后运行 python -m scripts.verify_fastgpt。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b w:val="0"/>
          <w:color w:val="17324D"/>
          <w:sz w:val="22"/>
        </w:rPr>
        <w:t>联调脚本只输出职业与政策两个工作流的运行模式、来源数量、来源完整性和通过状态。两条工作流均应返回带标题、链接、版本或日期的资料来源，且不得触发人工兜底。</w:t>
      </w:r>
    </w:p>
    <w:p>
      <w:pPr>
        <w:pStyle w:val="Heading1"/>
      </w:pPr>
      <w:r>
        <w:t>五、测试与验证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Ind w:w="120" w:type="dxa"/>
      </w:tblPr>
      <w:tblGrid>
        <w:gridCol w:w="2600"/>
        <w:gridCol w:w="6760"/>
      </w:tblGrid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1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验证项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1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当前结果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后端单元测试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26 项通过，覆盖配置、模型、RBAC、匹配、FastGPT 适配、隐私、教师意见与联调诊断。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后端静态检查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Ruff 检查和格式校验通过。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前端质量检查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ESLint 通过，TypeScript 与 Vite 生产构建成功。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数据库迁移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当前版本为 20260723_0003 (head)。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页面验证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三角色关键路径已在本地演示；学生与教师移动端 375px 无水平溢出。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真实 SF-FastGPT 联调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待赛事平台提供并配置 API Key 与两个工作流 ID 后执行。</w:t>
            </w:r>
          </w:p>
        </w:tc>
      </w:tr>
    </w:tbl>
    <w:p>
      <w:pPr>
        <w:spacing w:after="40"/>
      </w:pPr>
    </w:p>
    <w:p>
      <w:pPr>
        <w:pStyle w:val="Heading1"/>
      </w:pPr>
      <w:r>
        <w:t>六、运维与扩展建议</w:t>
      </w:r>
    </w:p>
    <w:p>
      <w:r>
        <w:rPr>
          <w:rFonts w:ascii="Microsoft YaHei" w:hAnsi="Microsoft YaHei" w:eastAsia="Microsoft YaHei"/>
          <w:b w:val="0"/>
          <w:color w:val="17324D"/>
          <w:sz w:val="22"/>
        </w:rPr>
        <w:t>正式试点前应由就业指导部门审核资料来源、更新周期和适用范围，并建立资料失效机制。后续可增加学院维度资料隔离、更多行动计划模板、人工咨询预约及审批流。任何生产数据库、真实学生身份认证或外部招聘数据同步接入，都应重新进行数据授权与安全评审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152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color w:val="5B6573"/>
        <w:sz w:val="18"/>
      </w:rPr>
      <w:t xml:space="preserve">成都信息工程大学 | 职途智航 | 第 </w:t>
    </w:r>
    <w:r>
      <w:rPr>
        <w:rFonts w:ascii="Microsoft YaHei" w:hAnsi="Microsoft YaHei" w:eastAsia="Microsoft YaHei"/>
        <w:b w:val="0"/>
        <w:color w:val="5B6573"/>
        <w:sz w:val="18"/>
      </w:rPr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b w:val="0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color w:val="5B6573"/>
        <w:sz w:val="18"/>
      </w:rPr>
      <w:t>成果实施技术文档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Microsoft YaHei" w:hAnsi="Microsoft YaHei" w:eastAsia="Microsoft YaHei"/>
      <w:color w:val="17324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24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