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职途智航成果演示视频脚本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B6573"/>
          <w:sz w:val="24"/>
        </w:rPr>
        <w:t>建议时长：5 分 30 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演示环境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本地 PostgreSQL + 脱敏演示账号 + 模拟岗位数据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5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7324D"/>
                <w:sz w:val="20"/>
              </w:rPr>
              <w:t>日期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20"/>
              </w:rPr>
              <w:t>2026-07-23</w:t>
            </w:r>
          </w:p>
        </w:tc>
      </w:tr>
    </w:tbl>
    <w:p>
      <w:pPr>
        <w:spacing w:after="40"/>
      </w:pPr>
    </w:p>
    <w:p>
      <w:pPr>
        <w:pStyle w:val="Heading1"/>
      </w:pPr>
      <w:r>
        <w:t>一、录制前检查</w:t>
      </w:r>
    </w:p>
    <w:p>
      <w:r>
        <w:rPr>
          <w:rFonts w:ascii="Microsoft YaHei" w:hAnsi="Microsoft YaHei" w:eastAsia="Microsoft YaHei"/>
          <w:b/>
          <w:color w:val="1F4E79"/>
          <w:sz w:val="22"/>
        </w:rPr>
        <w:t>画面边界：</w:t>
      </w:r>
      <w:r>
        <w:rPr>
          <w:rFonts w:ascii="Microsoft YaHei" w:hAnsi="Microsoft YaHei" w:eastAsia="Microsoft YaHei"/>
          <w:b w:val="0"/>
          <w:color w:val="17324D"/>
          <w:sz w:val="22"/>
        </w:rPr>
        <w:t>仅展示本地演示地址，不展示 .env、数据库连接串、API Key、工作流 ID、终端密码或真实学生信息。</w:t>
      </w:r>
    </w:p>
    <w:p>
      <w:r>
        <w:rPr>
          <w:rFonts w:ascii="Microsoft YaHei" w:hAnsi="Microsoft YaHei" w:eastAsia="Microsoft YaHei"/>
          <w:b/>
          <w:color w:val="1F4E79"/>
          <w:sz w:val="22"/>
        </w:rPr>
        <w:t>数据边界：</w:t>
      </w:r>
      <w:r>
        <w:rPr>
          <w:rFonts w:ascii="Microsoft YaHei" w:hAnsi="Microsoft YaHei" w:eastAsia="Microsoft YaHei"/>
          <w:b w:val="0"/>
          <w:color w:val="17324D"/>
          <w:sz w:val="22"/>
        </w:rPr>
        <w:t>使用合成演示账号和模拟岗位，保留“演示数据”语义。</w:t>
      </w:r>
    </w:p>
    <w:p>
      <w:r>
        <w:rPr>
          <w:rFonts w:ascii="Microsoft YaHei" w:hAnsi="Microsoft YaHei" w:eastAsia="Microsoft YaHei"/>
          <w:b/>
          <w:color w:val="1F4E79"/>
          <w:sz w:val="22"/>
        </w:rPr>
        <w:t>运行检查：</w:t>
      </w:r>
      <w:r>
        <w:rPr>
          <w:rFonts w:ascii="Microsoft YaHei" w:hAnsi="Microsoft YaHei" w:eastAsia="Microsoft YaHei"/>
          <w:b w:val="0"/>
          <w:color w:val="17324D"/>
          <w:sz w:val="22"/>
        </w:rPr>
        <w:t>先启动 PostgreSQL、后端和前端；确认学生、教师、管理员三角色均可登录。</w:t>
      </w:r>
    </w:p>
    <w:p>
      <w:r>
        <w:rPr>
          <w:rFonts w:ascii="Microsoft YaHei" w:hAnsi="Microsoft YaHei" w:eastAsia="Microsoft YaHei"/>
          <w:b/>
          <w:color w:val="1F4E79"/>
          <w:sz w:val="22"/>
        </w:rPr>
        <w:t>平台状态：</w:t>
      </w:r>
      <w:r>
        <w:rPr>
          <w:rFonts w:ascii="Microsoft YaHei" w:hAnsi="Microsoft YaHei" w:eastAsia="Microsoft YaHei"/>
          <w:b w:val="0"/>
          <w:color w:val="17324D"/>
          <w:sz w:val="22"/>
        </w:rPr>
        <w:t>真实 FastGPT 未配置时，展示模拟模式的人工兜底，不宣称真实平台联调已完成。</w:t>
      </w:r>
    </w:p>
    <w:p>
      <w:pPr>
        <w:pStyle w:val="Heading1"/>
      </w:pPr>
      <w:r>
        <w:t>二、分镜与旁白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1350"/>
        <w:gridCol w:w="3250"/>
        <w:gridCol w:w="4760"/>
      </w:tblGrid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时间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画面操作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旁白要点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00:00-00:20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打开首页，展示项目与学校品牌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说明项目面向高校学生就业择业规划，形成可解释、可追溯的闭环。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00:20-00:45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展示三种演示入口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说明学生、教师、管理员三角色协同。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00:45-01:25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学生登录并填写职业画像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强调仅使用规划所需脱敏信息，不采集非必要个人信息。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01:25-02:05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展示岗位推荐、分数与能力缺口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说明固定规则及五项分数来源，展示可解释推荐。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02:05-02:35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生成行动计划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说明系统将能力缺口转换为阶段性待办，不作录用承诺。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02:35-03:10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提问职业准备或政策问题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说明咨询通过服务端适配 FastGPT，前端不保存密钥。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03:10-03:35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模拟模式展示人工确认建议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资料不足、无来源或平台不可用时不编造答案，建议人工确认。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03:35-04:10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管理员查看台账、授权与审计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说明管理员只处理审核追溯字段和授权边界。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04:10-04:40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教师查看授权学生并提交意见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说明教师只看到职业摘要、计划状态和本人意见。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04:40-05:05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展示移动端学生与教师视图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说明 375px 宽度下无水平溢出。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05:05-05:30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回到首页或架构图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总结智能体结合匹配、检索、人工兜底与权限治理。</w:t>
            </w:r>
          </w:p>
        </w:tc>
      </w:tr>
    </w:tbl>
    <w:p>
      <w:pPr>
        <w:spacing w:after="40"/>
      </w:pPr>
    </w:p>
    <w:p>
      <w:pPr>
        <w:pStyle w:val="Heading1"/>
      </w:pPr>
      <w:r>
        <w:t>三、真实 SF-FastGPT 联调补录段</w:t>
      </w:r>
    </w:p>
    <w:p>
      <w:r>
        <w:rPr>
          <w:rFonts w:ascii="Microsoft YaHei" w:hAnsi="Microsoft YaHei" w:eastAsia="Microsoft YaHei"/>
          <w:b w:val="0"/>
          <w:color w:val="17324D"/>
          <w:sz w:val="22"/>
        </w:rPr>
        <w:t>仅在赛事平台参数完成配置并运行验收脚本通过后，替换 03:10-03:35 段。画面展示咨询回答中的资料标题、链接与版本或日期，不展示开发者工具、请求头、.env 或终端环境变量。</w:t>
      </w:r>
    </w:p>
    <w:p>
      <w:pPr>
        <w:pStyle w:val="Heading1"/>
      </w:pPr>
      <w:r>
        <w:t>四、提交检查清单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2000"/>
        <w:gridCol w:w="73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检查项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要求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品牌信息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视频中出现项目名称和“成都信息工程大学”。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功能覆盖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覆盖学生画像、可解释匹配、行动计划、咨询、教师协助、资料治理和审计。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信息安全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不出现真实学生资料、联系方式、密码、数据库 URL、API Key 或工作流 ID。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演示真实性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7324D"/>
                <w:sz w:val="18"/>
              </w:rPr>
              <w:t>明确模拟岗位边界，不作真实招聘或录用承诺。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 xml:space="preserve">成都信息工程大学 | 职途智航 | 第 </w:t>
    </w:r>
    <w:r>
      <w:rPr>
        <w:rFonts w:ascii="Microsoft YaHei" w:hAnsi="Microsoft YaHei" w:eastAsia="Microsoft YaHei"/>
        <w:b w:val="0"/>
        <w:color w:val="5B6573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>成果演示视频脚本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