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校招网申与笔试准备指南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b w:val="0"/>
          <w:color w:val="5B6573"/>
          <w:sz w:val="24"/>
        </w:rPr>
        <w:t>面向成都信息工程大学学生的求职准备资料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610"/>
      </w:tblGrid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24D"/>
                <w:sz w:val="20"/>
              </w:rPr>
              <w:t>资料性质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20"/>
              </w:rPr>
              <w:t>项目组基于官方公开资料整理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24D"/>
                <w:sz w:val="20"/>
              </w:rPr>
              <w:t>版本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20"/>
              </w:rPr>
              <w:t>v1.0 / 2026-08-03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24D"/>
                <w:sz w:val="20"/>
              </w:rPr>
              <w:t>适用范围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20"/>
              </w:rPr>
              <w:t>校招网申、在线测评、笔试与复盘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24D"/>
                <w:sz w:val="20"/>
              </w:rPr>
              <w:t>审核状态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20"/>
              </w:rPr>
              <w:t>待审核，审核通过后方可上传知识库</w:t>
            </w:r>
          </w:p>
        </w:tc>
      </w:tr>
    </w:tbl>
    <w:p>
      <w:pPr>
        <w:spacing w:after="40"/>
      </w:pPr>
    </w:p>
    <w:p>
      <w:pPr>
        <w:pStyle w:val="Heading1"/>
      </w:pPr>
      <w:r>
        <w:t>一、使用边界</w:t>
      </w:r>
    </w:p>
    <w:p>
      <w:r>
        <w:rPr>
          <w:rFonts w:ascii="Microsoft YaHei" w:hAnsi="Microsoft YaHei" w:eastAsia="Microsoft YaHei"/>
          <w:b w:val="0"/>
          <w:color w:val="17324D"/>
          <w:sz w:val="22"/>
        </w:rPr>
        <w:t>适用对象为成都信息工程大学在校生与毕业生的求职准备阶段。本材料只提供准备方法和风险提醒，不构成录用、薪酬、资格或政策办理承诺。系统不得收集或要求上传身份证号、家庭情况、健康信息、完整成绩单等非必要个人信息。</w:t>
      </w:r>
    </w:p>
    <w:p>
      <w:pPr>
        <w:pStyle w:val="Heading1"/>
      </w:pPr>
      <w:r>
        <w:t>二、建立有节奏的准备计划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</w:tblPr>
      <w:tblGrid>
        <w:gridCol w:w="1450"/>
        <w:gridCol w:w="4490"/>
        <w:gridCol w:w="3420"/>
      </w:tblGrid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阶段</w:t>
            </w:r>
          </w:p>
        </w:tc>
        <w:tc>
          <w:tcPr>
            <w:tcW w:type="dxa" w:w="4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核心动作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检查重点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投递前</w:t>
            </w:r>
          </w:p>
        </w:tc>
        <w:tc>
          <w:tcPr>
            <w:tcW w:type="dxa" w:w="44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确认岗位信息、截止时间、网申字段和材料要求；为不同岗位准备对应版本简历。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招聘信息来源是否为单位官网、学校就业平台或可信公开平台。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测评与笔试前</w:t>
            </w:r>
          </w:p>
        </w:tc>
        <w:tc>
          <w:tcPr>
            <w:tcW w:type="dxa" w:w="44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了解考核形式，针对通用能力、岗位专业、写作或性格测评安排练习。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不购买来源不明的答案，不委托他人代考。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模拟阶段</w:t>
            </w:r>
          </w:p>
        </w:tc>
        <w:tc>
          <w:tcPr>
            <w:tcW w:type="dxa" w:w="44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按真实时长进行限时练习，记录正确率、完成度和高频失分点。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先易后难的时间分配是否适合自己。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正式作答</w:t>
            </w:r>
          </w:p>
        </w:tc>
        <w:tc>
          <w:tcPr>
            <w:tcW w:type="dxa" w:w="44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提前测试网络、设备和身份验证要求，逐项阅读题干与操作提示。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避免看错单位、数量、题干限制或截止时间。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复盘阶段</w:t>
            </w:r>
          </w:p>
        </w:tc>
        <w:tc>
          <w:tcPr>
            <w:tcW w:type="dxa" w:w="44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记录题型、错误原因和下一次改进动作，不保存或传播考试题目。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把错误归为知识、方法、时间或细节问题。</w:t>
            </w:r>
          </w:p>
        </w:tc>
      </w:tr>
    </w:tbl>
    <w:p>
      <w:pPr>
        <w:spacing w:after="40"/>
      </w:pPr>
    </w:p>
    <w:p>
      <w:pPr>
        <w:pStyle w:val="Heading1"/>
      </w:pPr>
      <w:r>
        <w:t>三、常见题型与准备方法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</w:tblPr>
      <w:tblGrid>
        <w:gridCol w:w="1600"/>
        <w:gridCol w:w="4530"/>
        <w:gridCol w:w="323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类别</w:t>
            </w:r>
          </w:p>
        </w:tc>
        <w:tc>
          <w:tcPr>
            <w:tcW w:type="dxa" w:w="4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准备方式</w:t>
            </w:r>
          </w:p>
        </w:tc>
        <w:tc>
          <w:tcPr>
            <w:tcW w:type="dxa" w:w="3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作答提醒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通用能力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练习言语理解、逻辑判断、数量关系和资料分析，并建立错题归因。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优先完成把握较大的题目，避免单题占用过多时间。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岗位专业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依据岗位说明和专业基础知识建立复习清单，完成与目标岗位相关的练习。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不把通用题训练替代专业能力准备。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综合写作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练习提炼问题、组织结构和限时表达，保留必要的事实依据。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注意题目要求、篇幅和完成时间。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性格测评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如实、稳定地回答，理解其用于了解岗位与工作方式匹配。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不要刻意迎合或让前后答案互相矛盾。</w:t>
            </w:r>
          </w:p>
        </w:tc>
      </w:tr>
    </w:tbl>
    <w:p>
      <w:pPr>
        <w:spacing w:after="40"/>
      </w:pPr>
    </w:p>
    <w:p>
      <w:pPr>
        <w:pStyle w:val="Heading1"/>
      </w:pPr>
      <w:r>
        <w:t>四、来源与更新规则</w:t>
      </w:r>
    </w:p>
    <w:p>
      <w:r>
        <w:rPr>
          <w:rFonts w:ascii="Microsoft YaHei" w:hAnsi="Microsoft YaHei" w:eastAsia="Microsoft YaHei"/>
          <w:b w:val="0"/>
          <w:color w:val="17324D"/>
          <w:sz w:val="22"/>
        </w:rPr>
        <w:t>本材料为项目组依据公开来源编写的摘要，不替代原始网页、学校通知或用人单位招聘公告。政策、流程和岗位要求发生变化时，以原始发布方最新内容为准。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</w:tblPr>
      <w:tblGrid>
        <w:gridCol w:w="3100"/>
        <w:gridCol w:w="2250"/>
        <w:gridCol w:w="401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资料名称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发布信息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原始链接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职场小课堂——校招笔试拆解课堂，助力求职高效通关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成都农业科技职业学院就业平台；2026-07-07；发布于国家大学生就业服务平台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https://www.ncss.cn/ncss/zd/ws/202607/20260707/2293872073.html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国家大学生就业服务平台 - 职位信息与就业指导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教育部学生服务与素质发展中心；访问于 2026-08-03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https://www.ncss.cn/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152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5B6573"/>
        <w:sz w:val="18"/>
      </w:rPr>
      <w:t xml:space="preserve">成都信息工程大学 | 职途智航 | 第 </w:t>
    </w:r>
    <w:r>
      <w:rPr>
        <w:rFonts w:ascii="Microsoft YaHei" w:hAnsi="Microsoft YaHei" w:eastAsia="Microsoft YaHei"/>
        <w:b w:val="0"/>
        <w:color w:val="5B6573"/>
        <w:sz w:val="18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5B6573"/>
        <w:sz w:val="18"/>
      </w:rPr>
      <w:t>CUIT 求职准备知识库 | 网申与笔试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YaHei" w:hAnsi="Microsoft YaHei" w:eastAsia="Microsoft YaHei"/>
      <w:color w:val="1732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