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Microsoft YaHei" w:hAnsi="Microsoft YaHei" w:eastAsia="Microsoft YaHei"/>
          <w:b/>
          <w:color w:val="1F4E79"/>
          <w:sz w:val="48"/>
        </w:rPr>
        <w:t>高校毕业生就业政策与办事服务指南</w:t>
      </w:r>
    </w:p>
    <w:p>
      <w:pPr>
        <w:spacing w:after="360"/>
        <w:jc w:val="center"/>
      </w:pPr>
      <w:r>
        <w:rPr>
          <w:rFonts w:ascii="Microsoft YaHei" w:hAnsi="Microsoft YaHei" w:eastAsia="Microsoft YaHei"/>
          <w:b w:val="0"/>
          <w:color w:val="5B6573"/>
          <w:sz w:val="24"/>
        </w:rPr>
        <w:t>基于政府公开信息整理的待审核知识库资料</w:t>
      </w:r>
    </w:p>
    <w:tbl>
      <w:tblPr>
        <w:tblW w:type="dxa" w:w="9360"/>
        <w:jc w:val="left"/>
        <w:tblLayout w:type="fixed"/>
        <w:tblLook w:firstColumn="1" w:firstRow="1" w:lastColumn="0" w:lastRow="0" w:noHBand="0" w:noVBand="1" w:val="04A0"/>
        <w:tblInd w:w="120" w:type="dxa"/>
      </w:tblPr>
      <w:tblGrid>
        <w:gridCol w:w="1750"/>
        <w:gridCol w:w="7610"/>
      </w:tblGrid>
      <w:tr>
        <w:tc>
          <w:tcPr>
            <w:tcW w:type="dxa" w:w="1750"/>
            <w:vAlign w:val="center"/>
            <w:tcMar>
              <w:top w:w="80" w:type="dxa"/>
              <w:start w:w="120" w:type="dxa"/>
              <w:bottom w:w="80" w:type="dxa"/>
              <w:end w:w="120" w:type="dxa"/>
            </w:tcMar>
            <w:shd w:fill="F3F5F7"/>
          </w:tcPr>
          <w:p>
            <w:pPr>
              <w:spacing w:after="0"/>
            </w:pPr>
            <w:r>
              <w:rPr>
                <w:rFonts w:ascii="Microsoft YaHei" w:hAnsi="Microsoft YaHei" w:eastAsia="Microsoft YaHei"/>
                <w:b/>
                <w:color w:val="17324D"/>
                <w:sz w:val="20"/>
              </w:rPr>
              <w:t>资料性质</w:t>
            </w:r>
          </w:p>
        </w:tc>
        <w:tc>
          <w:tcPr>
            <w:tcW w:type="dxa" w:w="7610"/>
            <w:vAlign w:val="center"/>
            <w:tcMar>
              <w:top w:w="80" w:type="dxa"/>
              <w:start w:w="120" w:type="dxa"/>
              <w:bottom w:w="80" w:type="dxa"/>
              <w:end w:w="120" w:type="dxa"/>
            </w:tcMar>
          </w:tcPr>
          <w:p>
            <w:pPr>
              <w:spacing w:after="0"/>
            </w:pPr>
            <w:r>
              <w:rPr>
                <w:rFonts w:ascii="Microsoft YaHei" w:hAnsi="Microsoft YaHei" w:eastAsia="Microsoft YaHei"/>
                <w:b w:val="0"/>
                <w:color w:val="17324D"/>
                <w:sz w:val="20"/>
              </w:rPr>
              <w:t>政策检索与办事服务参考</w:t>
            </w:r>
          </w:p>
        </w:tc>
      </w:tr>
      <w:tr>
        <w:tc>
          <w:tcPr>
            <w:tcW w:type="dxa" w:w="1750"/>
            <w:vAlign w:val="center"/>
            <w:tcMar>
              <w:top w:w="80" w:type="dxa"/>
              <w:start w:w="120" w:type="dxa"/>
              <w:bottom w:w="80" w:type="dxa"/>
              <w:end w:w="120" w:type="dxa"/>
            </w:tcMar>
            <w:shd w:fill="F3F5F7"/>
          </w:tcPr>
          <w:p>
            <w:pPr>
              <w:spacing w:after="0"/>
            </w:pPr>
            <w:r>
              <w:rPr>
                <w:rFonts w:ascii="Microsoft YaHei" w:hAnsi="Microsoft YaHei" w:eastAsia="Microsoft YaHei"/>
                <w:b/>
                <w:color w:val="17324D"/>
                <w:sz w:val="20"/>
              </w:rPr>
              <w:t>版本</w:t>
            </w:r>
          </w:p>
        </w:tc>
        <w:tc>
          <w:tcPr>
            <w:tcW w:type="dxa" w:w="7610"/>
            <w:vAlign w:val="center"/>
            <w:tcMar>
              <w:top w:w="80" w:type="dxa"/>
              <w:start w:w="120" w:type="dxa"/>
              <w:bottom w:w="80" w:type="dxa"/>
              <w:end w:w="120" w:type="dxa"/>
            </w:tcMar>
          </w:tcPr>
          <w:p>
            <w:pPr>
              <w:spacing w:after="0"/>
            </w:pPr>
            <w:r>
              <w:rPr>
                <w:rFonts w:ascii="Microsoft YaHei" w:hAnsi="Microsoft YaHei" w:eastAsia="Microsoft YaHei"/>
                <w:b w:val="0"/>
                <w:color w:val="17324D"/>
                <w:sz w:val="20"/>
              </w:rPr>
              <w:t>v1.0 2026-09-07</w:t>
            </w:r>
          </w:p>
        </w:tc>
      </w:tr>
      <w:tr>
        <w:tc>
          <w:tcPr>
            <w:tcW w:type="dxa" w:w="1750"/>
            <w:vAlign w:val="center"/>
            <w:tcMar>
              <w:top w:w="80" w:type="dxa"/>
              <w:start w:w="120" w:type="dxa"/>
              <w:bottom w:w="80" w:type="dxa"/>
              <w:end w:w="120" w:type="dxa"/>
            </w:tcMar>
            <w:shd w:fill="F3F5F7"/>
          </w:tcPr>
          <w:p>
            <w:pPr>
              <w:spacing w:after="0"/>
            </w:pPr>
            <w:r>
              <w:rPr>
                <w:rFonts w:ascii="Microsoft YaHei" w:hAnsi="Microsoft YaHei" w:eastAsia="Microsoft YaHei"/>
                <w:b/>
                <w:color w:val="17324D"/>
                <w:sz w:val="20"/>
              </w:rPr>
              <w:t>适用范围</w:t>
            </w:r>
          </w:p>
        </w:tc>
        <w:tc>
          <w:tcPr>
            <w:tcW w:type="dxa" w:w="7610"/>
            <w:vAlign w:val="center"/>
            <w:tcMar>
              <w:top w:w="80" w:type="dxa"/>
              <w:start w:w="120" w:type="dxa"/>
              <w:bottom w:w="80" w:type="dxa"/>
              <w:end w:w="120" w:type="dxa"/>
            </w:tcMar>
          </w:tcPr>
          <w:p>
            <w:pPr>
              <w:spacing w:after="0"/>
            </w:pPr>
            <w:r>
              <w:rPr>
                <w:rFonts w:ascii="Microsoft YaHei" w:hAnsi="Microsoft YaHei" w:eastAsia="Microsoft YaHei"/>
                <w:b w:val="0"/>
                <w:color w:val="17324D"/>
                <w:sz w:val="20"/>
              </w:rPr>
              <w:t>高校学生和毕业生的一般就业政策咨询</w:t>
            </w:r>
          </w:p>
        </w:tc>
      </w:tr>
      <w:tr>
        <w:tc>
          <w:tcPr>
            <w:tcW w:type="dxa" w:w="1750"/>
            <w:vAlign w:val="center"/>
            <w:tcMar>
              <w:top w:w="80" w:type="dxa"/>
              <w:start w:w="120" w:type="dxa"/>
              <w:bottom w:w="80" w:type="dxa"/>
              <w:end w:w="120" w:type="dxa"/>
            </w:tcMar>
            <w:shd w:fill="F3F5F7"/>
          </w:tcPr>
          <w:p>
            <w:pPr>
              <w:spacing w:after="0"/>
            </w:pPr>
            <w:r>
              <w:rPr>
                <w:rFonts w:ascii="Microsoft YaHei" w:hAnsi="Microsoft YaHei" w:eastAsia="Microsoft YaHei"/>
                <w:b/>
                <w:color w:val="17324D"/>
                <w:sz w:val="20"/>
              </w:rPr>
              <w:t>审核状态</w:t>
            </w:r>
          </w:p>
        </w:tc>
        <w:tc>
          <w:tcPr>
            <w:tcW w:type="dxa" w:w="7610"/>
            <w:vAlign w:val="center"/>
            <w:tcMar>
              <w:top w:w="80" w:type="dxa"/>
              <w:start w:w="120" w:type="dxa"/>
              <w:bottom w:w="80" w:type="dxa"/>
              <w:end w:w="120" w:type="dxa"/>
            </w:tcMar>
          </w:tcPr>
          <w:p>
            <w:pPr>
              <w:spacing w:after="0"/>
            </w:pPr>
            <w:r>
              <w:rPr>
                <w:rFonts w:ascii="Microsoft YaHei" w:hAnsi="Microsoft YaHei" w:eastAsia="Microsoft YaHei"/>
                <w:b w:val="0"/>
                <w:color w:val="17324D"/>
                <w:sz w:val="20"/>
              </w:rPr>
              <w:t>待审核 审核通过后方可上传知识库</w:t>
            </w:r>
          </w:p>
        </w:tc>
      </w:tr>
    </w:tbl>
    <w:p>
      <w:pPr>
        <w:spacing w:after="40"/>
      </w:pPr>
    </w:p>
    <w:p>
      <w:pPr>
        <w:pStyle w:val="Heading1"/>
      </w:pPr>
      <w:r>
        <w:t>一 使用范围</w:t>
      </w:r>
    </w:p>
    <w:p>
      <w:r>
        <w:rPr>
          <w:rFonts w:ascii="Microsoft YaHei" w:hAnsi="Microsoft YaHei" w:eastAsia="Microsoft YaHei"/>
          <w:b w:val="0"/>
          <w:color w:val="17324D"/>
          <w:sz w:val="22"/>
        </w:rPr>
        <w:t>本材料面向高校学生和毕业生，依据政府部门和国家公共就业服务平台公开信息整理。它只用于一般性信息检索和准备建议，不构成具体资格认定、补贴额度、录用结果或办理时限承诺。涉及地方口径、材料清单、申报窗口和个人资格时，应以办理地人力资源社会保障部门、教育部门或学校就业部门最新通知为准。</w:t>
      </w:r>
    </w:p>
    <w:p>
      <w:pPr>
        <w:pStyle w:val="Heading1"/>
      </w:pPr>
      <w:r>
        <w:t>二 政策咨询的正确路径</w:t>
      </w:r>
    </w:p>
    <w:tbl>
      <w:tblPr>
        <w:tblStyle w:val="TableGrid"/>
        <w:tblW w:type="dxa" w:w="9360"/>
        <w:tblLayout w:type="fixed"/>
        <w:tblLook w:firstColumn="1" w:firstRow="1" w:lastColumn="0" w:lastRow="0" w:noHBand="0" w:noVBand="1" w:val="04A0"/>
        <w:jc w:val="left"/>
        <w:tblInd w:w="120" w:type="dxa"/>
        <w:tblInd w:w="120" w:type="dxa"/>
      </w:tblPr>
      <w:tblGrid>
        <w:gridCol w:w="1650"/>
        <w:gridCol w:w="4360"/>
        <w:gridCol w:w="3370"/>
      </w:tblGrid>
      <w:tr>
        <w:tc>
          <w:tcPr>
            <w:tcW w:type="dxa" w:w="165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咨询主题</w:t>
            </w:r>
          </w:p>
        </w:tc>
        <w:tc>
          <w:tcPr>
            <w:tcW w:type="dxa" w:w="436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可先了解的内容</w:t>
            </w:r>
          </w:p>
        </w:tc>
        <w:tc>
          <w:tcPr>
            <w:tcW w:type="dxa" w:w="337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需要进一步核验的事项</w:t>
            </w:r>
          </w:p>
        </w:tc>
      </w:tr>
      <w:tr>
        <w:tc>
          <w:tcPr>
            <w:tcW w:type="dxa" w:w="16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公共就业服务</w:t>
            </w:r>
          </w:p>
        </w:tc>
        <w:tc>
          <w:tcPr>
            <w:tcW w:type="dxa" w:w="436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就业登记、岗位信息、职业指导、招聘活动和基层服务项目等公共服务入口。</w:t>
            </w:r>
          </w:p>
        </w:tc>
        <w:tc>
          <w:tcPr>
            <w:tcW w:type="dxa" w:w="337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办理地、线上入口、材料要求和服务时间。</w:t>
            </w:r>
          </w:p>
        </w:tc>
      </w:tr>
      <w:tr>
        <w:tc>
          <w:tcPr>
            <w:tcW w:type="dxa" w:w="16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求职创业支持</w:t>
            </w:r>
          </w:p>
        </w:tc>
        <w:tc>
          <w:tcPr>
            <w:tcW w:type="dxa" w:w="436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各地可能提供求职补贴、创业服务、培训或见习支持。</w:t>
            </w:r>
          </w:p>
        </w:tc>
        <w:tc>
          <w:tcPr>
            <w:tcW w:type="dxa" w:w="337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申请条件、补贴标准、申报批次和资金发放规则。</w:t>
            </w:r>
          </w:p>
        </w:tc>
      </w:tr>
      <w:tr>
        <w:tc>
          <w:tcPr>
            <w:tcW w:type="dxa" w:w="16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基层就业</w:t>
            </w:r>
          </w:p>
        </w:tc>
        <w:tc>
          <w:tcPr>
            <w:tcW w:type="dxa" w:w="436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基层服务项目、基层岗位和相关就业支持政策。</w:t>
            </w:r>
          </w:p>
        </w:tc>
        <w:tc>
          <w:tcPr>
            <w:tcW w:type="dxa" w:w="337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项目当年公告、报名条件、服务期限和招募流程。</w:t>
            </w:r>
          </w:p>
        </w:tc>
      </w:tr>
      <w:tr>
        <w:tc>
          <w:tcPr>
            <w:tcW w:type="dxa" w:w="16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就业权益</w:t>
            </w:r>
          </w:p>
        </w:tc>
        <w:tc>
          <w:tcPr>
            <w:tcW w:type="dxa" w:w="436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劳动合同、招聘信息核验、个人信息保护和违规收费风险。</w:t>
            </w:r>
          </w:p>
        </w:tc>
        <w:tc>
          <w:tcPr>
            <w:tcW w:type="dxa" w:w="337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具体劳动争议、合同条款和个案维权路径。</w:t>
            </w:r>
          </w:p>
        </w:tc>
      </w:tr>
    </w:tbl>
    <w:p>
      <w:pPr>
        <w:spacing w:after="40"/>
      </w:pPr>
    </w:p>
    <w:p>
      <w:pPr>
        <w:pStyle w:val="Heading1"/>
      </w:pPr>
      <w:r>
        <w:t>三 办事前准备清单</w:t>
      </w:r>
    </w:p>
    <w:tbl>
      <w:tblPr>
        <w:tblStyle w:val="TableGrid"/>
        <w:tblW w:type="dxa" w:w="9360"/>
        <w:tblLayout w:type="fixed"/>
        <w:tblLook w:firstColumn="1" w:firstRow="1" w:lastColumn="0" w:lastRow="0" w:noHBand="0" w:noVBand="1" w:val="04A0"/>
        <w:jc w:val="left"/>
        <w:tblInd w:w="120" w:type="dxa"/>
        <w:tblInd w:w="120" w:type="dxa"/>
      </w:tblPr>
      <w:tblGrid>
        <w:gridCol w:w="1200"/>
        <w:gridCol w:w="5150"/>
        <w:gridCol w:w="3040"/>
      </w:tblGrid>
      <w:tr>
        <w:tc>
          <w:tcPr>
            <w:tcW w:type="dxa" w:w="120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步骤</w:t>
            </w:r>
          </w:p>
        </w:tc>
        <w:tc>
          <w:tcPr>
            <w:tcW w:type="dxa" w:w="515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建议动作</w:t>
            </w:r>
          </w:p>
        </w:tc>
        <w:tc>
          <w:tcPr>
            <w:tcW w:type="dxa" w:w="304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保留的依据</w:t>
            </w:r>
          </w:p>
        </w:tc>
      </w:tr>
      <w:tr>
        <w:tc>
          <w:tcPr>
            <w:tcW w:type="dxa" w:w="12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1 明确事项</w:t>
            </w:r>
          </w:p>
        </w:tc>
        <w:tc>
          <w:tcPr>
            <w:tcW w:type="dxa" w:w="51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说明需要咨询的是补贴、基层项目、就业登记、档案去向还是招聘活动。</w:t>
            </w:r>
          </w:p>
        </w:tc>
        <w:tc>
          <w:tcPr>
            <w:tcW w:type="dxa" w:w="304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问题描述和目标办理地。</w:t>
            </w:r>
          </w:p>
        </w:tc>
      </w:tr>
      <w:tr>
        <w:tc>
          <w:tcPr>
            <w:tcW w:type="dxa" w:w="12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2 查找原文</w:t>
            </w:r>
          </w:p>
        </w:tc>
        <w:tc>
          <w:tcPr>
            <w:tcW w:type="dxa" w:w="51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优先使用中国政府网、人力资源社会保障部门、教育部门和国家公共就业服务平台。</w:t>
            </w:r>
          </w:p>
        </w:tc>
        <w:tc>
          <w:tcPr>
            <w:tcW w:type="dxa" w:w="304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原始网页链接、文号或发布日期。</w:t>
            </w:r>
          </w:p>
        </w:tc>
      </w:tr>
      <w:tr>
        <w:tc>
          <w:tcPr>
            <w:tcW w:type="dxa" w:w="12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3 核验范围</w:t>
            </w:r>
          </w:p>
        </w:tc>
        <w:tc>
          <w:tcPr>
            <w:tcW w:type="dxa" w:w="51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核对政策适用对象、地区、毕业年度、申请时间和所需材料。</w:t>
            </w:r>
          </w:p>
        </w:tc>
        <w:tc>
          <w:tcPr>
            <w:tcW w:type="dxa" w:w="304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政策原文和当地实施通知。</w:t>
            </w:r>
          </w:p>
        </w:tc>
      </w:tr>
      <w:tr>
        <w:tc>
          <w:tcPr>
            <w:tcW w:type="dxa" w:w="12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4 提交前复核</w:t>
            </w:r>
          </w:p>
        </w:tc>
        <w:tc>
          <w:tcPr>
            <w:tcW w:type="dxa" w:w="51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向学校就业部门或当地公共就业服务机构确认办理窗口与材料。</w:t>
            </w:r>
          </w:p>
        </w:tc>
        <w:tc>
          <w:tcPr>
            <w:tcW w:type="dxa" w:w="304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咨询记录和提交材料清单。</w:t>
            </w:r>
          </w:p>
        </w:tc>
      </w:tr>
      <w:tr>
        <w:tc>
          <w:tcPr>
            <w:tcW w:type="dxa" w:w="12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5 留意更新</w:t>
            </w:r>
          </w:p>
        </w:tc>
        <w:tc>
          <w:tcPr>
            <w:tcW w:type="dxa" w:w="51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关注政策修订、申报截止和办理状态变化。</w:t>
            </w:r>
          </w:p>
        </w:tc>
        <w:tc>
          <w:tcPr>
            <w:tcW w:type="dxa" w:w="304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最新通知或官方答复。</w:t>
            </w:r>
          </w:p>
        </w:tc>
      </w:tr>
    </w:tbl>
    <w:p>
      <w:pPr>
        <w:spacing w:after="40"/>
      </w:pPr>
    </w:p>
    <w:p>
      <w:pPr>
        <w:pStyle w:val="Heading1"/>
      </w:pPr>
      <w:r>
        <w:t>四 回答边界与风险提示</w:t>
      </w:r>
    </w:p>
    <w:p>
      <w:r>
        <w:rPr>
          <w:rFonts w:ascii="Microsoft YaHei" w:hAnsi="Microsoft YaHei" w:eastAsia="Microsoft YaHei"/>
          <w:b w:val="0"/>
          <w:color w:val="17324D"/>
          <w:sz w:val="22"/>
        </w:rPr>
        <w:t>系统回答应优先给出政策名称、发布部门、发布日期和原始链接。没有已审核来源时，应说明资料不足并建议向学校就业部门或当地公共就业服务机构确认。不得替用户确认补贴资格、承诺审核结果、代办材料，或将历史政策表述为当前仍有效。</w:t>
      </w:r>
    </w:p>
    <w:p>
      <w:pPr>
        <w:pStyle w:val="Heading1"/>
      </w:pPr>
      <w:r>
        <w:t>五 来源与更新规则</w:t>
      </w:r>
    </w:p>
    <w:p>
      <w:r>
        <w:rPr>
          <w:rFonts w:ascii="Microsoft YaHei" w:hAnsi="Microsoft YaHei" w:eastAsia="Microsoft YaHei"/>
          <w:b w:val="0"/>
          <w:color w:val="17324D"/>
          <w:sz w:val="22"/>
        </w:rPr>
        <w:t>所有来源均应保留原始网页链接和发布日期。资料管理员应至少每学期复核一次；若原页面失效、政策被修订或适用范围变化，应下线旧版本并重新审核。</w:t>
      </w:r>
    </w:p>
    <w:tbl>
      <w:tblPr>
        <w:tblStyle w:val="TableGrid"/>
        <w:tblW w:type="dxa" w:w="9360"/>
        <w:tblLayout w:type="fixed"/>
        <w:tblLook w:firstColumn="1" w:firstRow="1" w:lastColumn="0" w:lastRow="0" w:noHBand="0" w:noVBand="1" w:val="04A0"/>
        <w:jc w:val="left"/>
        <w:tblInd w:w="120" w:type="dxa"/>
        <w:tblInd w:w="120" w:type="dxa"/>
      </w:tblPr>
      <w:tblGrid>
        <w:gridCol w:w="3100"/>
        <w:gridCol w:w="2250"/>
        <w:gridCol w:w="4010"/>
      </w:tblGrid>
      <w:tr>
        <w:tc>
          <w:tcPr>
            <w:tcW w:type="dxa" w:w="310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来源</w:t>
            </w:r>
          </w:p>
        </w:tc>
        <w:tc>
          <w:tcPr>
            <w:tcW w:type="dxa" w:w="225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发布信息</w:t>
            </w:r>
          </w:p>
        </w:tc>
        <w:tc>
          <w:tcPr>
            <w:tcW w:type="dxa" w:w="4010"/>
            <w:vAlign w:val="center"/>
            <w:tcMar>
              <w:top w:w="80" w:type="dxa"/>
              <w:start w:w="120" w:type="dxa"/>
              <w:bottom w:w="80" w:type="dxa"/>
              <w:end w:w="120" w:type="dxa"/>
            </w:tcMar>
            <w:shd w:fill="EAF1F8"/>
          </w:tcPr>
          <w:p>
            <w:pPr>
              <w:spacing w:after="0"/>
              <w:jc w:val="center"/>
            </w:pPr>
            <w:r>
              <w:rPr>
                <w:rFonts w:ascii="Microsoft YaHei" w:hAnsi="Microsoft YaHei" w:eastAsia="Microsoft YaHei"/>
                <w:b/>
                <w:color w:val="1F4E79"/>
                <w:sz w:val="19"/>
              </w:rPr>
              <w:t>原始链接</w:t>
            </w:r>
          </w:p>
        </w:tc>
      </w:tr>
      <w:tr>
        <w:tc>
          <w:tcPr>
            <w:tcW w:type="dxa" w:w="31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国务院办公厅关于进一步做好高校毕业生等青年就业创业工作的通知</w:t>
            </w:r>
          </w:p>
        </w:tc>
        <w:tc>
          <w:tcPr>
            <w:tcW w:type="dxa" w:w="22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国务院办公厅 2022-05-13</w:t>
            </w:r>
          </w:p>
        </w:tc>
        <w:tc>
          <w:tcPr>
            <w:tcW w:type="dxa" w:w="401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https://www.gov.cn/zhengce/content/2022-05/13/content_5690247.htm</w:t>
            </w:r>
          </w:p>
        </w:tc>
      </w:tr>
      <w:tr>
        <w:tc>
          <w:tcPr>
            <w:tcW w:type="dxa" w:w="31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中国政府网 政策文件库</w:t>
            </w:r>
          </w:p>
        </w:tc>
        <w:tc>
          <w:tcPr>
            <w:tcW w:type="dxa" w:w="22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国务院客户端 中国政府网 访问于 2026-09-07</w:t>
            </w:r>
          </w:p>
        </w:tc>
        <w:tc>
          <w:tcPr>
            <w:tcW w:type="dxa" w:w="401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https://www.gov.cn/zhengce/zhengceku/</w:t>
            </w:r>
          </w:p>
        </w:tc>
      </w:tr>
      <w:tr>
        <w:tc>
          <w:tcPr>
            <w:tcW w:type="dxa" w:w="31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人力资源和社会保障部</w:t>
            </w:r>
          </w:p>
        </w:tc>
        <w:tc>
          <w:tcPr>
            <w:tcW w:type="dxa" w:w="22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人力资源和社会保障部 访问于 2026-09-07</w:t>
            </w:r>
          </w:p>
        </w:tc>
        <w:tc>
          <w:tcPr>
            <w:tcW w:type="dxa" w:w="401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https://www.mohrss.gov.cn/</w:t>
            </w:r>
          </w:p>
        </w:tc>
      </w:tr>
      <w:tr>
        <w:tc>
          <w:tcPr>
            <w:tcW w:type="dxa" w:w="310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四川省人力资源和社会保障厅</w:t>
            </w:r>
          </w:p>
        </w:tc>
        <w:tc>
          <w:tcPr>
            <w:tcW w:type="dxa" w:w="225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四川省人力资源和社会保障厅 访问于 2026-09-07</w:t>
            </w:r>
          </w:p>
        </w:tc>
        <w:tc>
          <w:tcPr>
            <w:tcW w:type="dxa" w:w="4010"/>
            <w:tcMar>
              <w:top w:w="80" w:type="dxa"/>
              <w:start w:w="120" w:type="dxa"/>
              <w:bottom w:w="80" w:type="dxa"/>
              <w:end w:w="120" w:type="dxa"/>
            </w:tcMar>
            <w:vAlign w:val="center"/>
          </w:tcPr>
          <w:p>
            <w:pPr>
              <w:spacing w:after="0"/>
            </w:pPr>
            <w:r>
              <w:rPr>
                <w:rFonts w:ascii="Microsoft YaHei" w:hAnsi="Microsoft YaHei" w:eastAsia="Microsoft YaHei"/>
                <w:b w:val="0"/>
                <w:color w:val="17324D"/>
                <w:sz w:val="18"/>
              </w:rPr>
              <w:t>https://rst.sc.gov.cn/</w:t>
            </w:r>
          </w:p>
        </w:tc>
      </w:tr>
    </w:tbl>
    <w:p>
      <w:pPr>
        <w:spacing w:after="40"/>
      </w:pP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B6573"/>
        <w:sz w:val="18"/>
      </w:rPr>
      <w:t xml:space="preserve">成都信息工程大学 | 职途智航 | 第 </w:t>
    </w:r>
    <w:r>
      <w:rPr>
        <w:rFonts w:ascii="Microsoft YaHei" w:hAnsi="Microsoft YaHei" w:eastAsia="Microsoft YaHei"/>
        <w:b w:val="0"/>
        <w:color w:val="5B6573"/>
        <w:sz w:val="18"/>
      </w:rPr>
      <w:fldChar w:fldCharType="begin"/>
      <w:instrText xml:space="preserve">PAGE</w:instrText>
      <w:fldChar w:fldCharType="end"/>
    </w:r>
    <w:r>
      <w:rPr>
        <w:rFonts w:ascii="Microsoft YaHei" w:hAnsi="Microsoft YaHei" w:eastAsia="Microsoft YaHei"/>
        <w:b w:val="0"/>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5B6573"/>
        <w:sz w:val="18"/>
      </w:rPr>
      <w:t>职途智航 知识库 就业政策与办事服务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icrosoft YaHei" w:hAnsi="Microsoft YaHei" w:eastAsia="Microsoft YaHei"/>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