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COMMUNICATION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30"/>
        <w:gridCol w:w="1305"/>
        <w:gridCol w:w="1065"/>
        <w:gridCol w:w="1140"/>
        <w:gridCol w:w="1770"/>
        <w:gridCol w:w="1920"/>
        <w:tblGridChange w:id="0">
          <w:tblGrid>
            <w:gridCol w:w="1545"/>
            <w:gridCol w:w="1530"/>
            <w:gridCol w:w="1305"/>
            <w:gridCol w:w="1065"/>
            <w:gridCol w:w="1140"/>
            <w:gridCol w:w="177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PREFERRED DELIVERY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Conference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Includes overall progress, risks, and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Focuses on technical aspects and system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Training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Bi-Weekly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/ Intranet 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Detailed schedule of upcoming training sessions.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LMS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 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Newsletter / Parent-Teacher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Provides an overview of the LMS and its benefits.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36z5x0xuw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and Comments: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School Management</w:t>
      </w:r>
      <w:r w:rsidDel="00000000" w:rsidR="00000000" w:rsidRPr="00000000">
        <w:rPr>
          <w:rtl w:val="0"/>
        </w:rPr>
        <w:t xml:space="preserve">: Regular weekly updates on project status are crucial to keep the decision-makers informed and to facilitate timely decision-making. The priority is very high due to the strategic importance of the LMS.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Department</w:t>
      </w:r>
      <w:r w:rsidDel="00000000" w:rsidR="00000000" w:rsidRPr="00000000">
        <w:rPr>
          <w:rtl w:val="0"/>
        </w:rPr>
        <w:t xml:space="preserve">: Weekly technical updates help identify and address any potential issues promptly. Email is preferred for detailed technical communication. (if applicable)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Teachers</w:t>
      </w:r>
      <w:r w:rsidDel="00000000" w:rsidR="00000000" w:rsidRPr="00000000">
        <w:rPr>
          <w:rtl w:val="0"/>
        </w:rPr>
        <w:t xml:space="preserve">: The training coordinator will ensure that teachers are well-informed and receive a bi-weekly update on training schedules to prepare them for the transition to the new LMS.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  <w:t xml:space="preserve">: Monthly communication will keep parents informed about the LMS and its benefits, fostering community support for the project.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