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Линь</w:t>
      </w:r>
      <w:r>
        <w:t xml:space="preserve"> </w:t>
      </w:r>
      <w:r>
        <w:t xml:space="preserve">Хаоюнь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955467"/>
            <wp:effectExtent b="0" l="0" r="0" t="0"/>
            <wp:docPr descr="Рис. 1: Подготовил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Подготовил каталог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8" w:name="fig:002"/>
      <w:r>
        <w:drawing>
          <wp:inline>
            <wp:extent cx="3878981" cy="3262964"/>
            <wp:effectExtent b="0" l="0" r="0" t="0"/>
            <wp:docPr descr="Рис. 2: Программа в файле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lab6-1.asm</w:t>
      </w:r>
    </w:p>
    <w:p>
      <w:pPr>
        <w:pStyle w:val="BodyText"/>
      </w:pPr>
      <w:r>
        <w:t xml:space="preserve">В данной программе (рис. 2)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использования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p>
      <w:pPr>
        <w:pStyle w:val="CaptionedFigure"/>
      </w:pPr>
      <w:bookmarkStart w:id="32" w:name="fig:003"/>
      <w:r>
        <w:drawing>
          <wp:inline>
            <wp:extent cx="5334000" cy="994740"/>
            <wp:effectExtent b="0" l="0" r="0" t="0"/>
            <wp:docPr descr="Рис. 3: Запуск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lab6-1.asm</w:t>
      </w:r>
    </w:p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3)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4)</w:t>
      </w:r>
    </w:p>
    <w:p>
      <w:pPr>
        <w:pStyle w:val="CaptionedFigure"/>
      </w:pPr>
      <w:bookmarkStart w:id="36" w:name="fig:004"/>
      <w:r>
        <w:drawing>
          <wp:inline>
            <wp:extent cx="3570972" cy="2772075"/>
            <wp:effectExtent b="0" l="0" r="0" t="0"/>
            <wp:docPr descr="Рис. 4: Программа в файле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lab6-1.asm</w:t>
      </w:r>
    </w:p>
    <w:p>
      <w:pPr>
        <w:pStyle w:val="CaptionedFigure"/>
      </w:pPr>
      <w:bookmarkStart w:id="40" w:name="fig:005"/>
      <w:r>
        <w:drawing>
          <wp:inline>
            <wp:extent cx="5334000" cy="1128804"/>
            <wp:effectExtent b="0" l="0" r="0" t="0"/>
            <wp:docPr descr="Рис. 5: Запуск программы lab6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lab6-1.asm</w:t>
      </w:r>
    </w:p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t xml:space="preserve"> </w:t>
      </w:r>
      <w:r>
        <w:t xml:space="preserve">Вместо этого выводится символ с кодом 10, который представляет собой символ конца строки</w:t>
      </w:r>
      <w:r>
        <w:t xml:space="preserve"> </w:t>
      </w:r>
      <w:r>
        <w:t xml:space="preserve">(возврат каретки). (рис. 5)</w:t>
      </w:r>
      <w:r>
        <w:t xml:space="preserve"> </w:t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6)</w:t>
      </w:r>
    </w:p>
    <w:p>
      <w:pPr>
        <w:pStyle w:val="CaptionedFigure"/>
      </w:pPr>
      <w:bookmarkStart w:id="44" w:name="fig:006"/>
      <w:r>
        <w:drawing>
          <wp:inline>
            <wp:extent cx="3647974" cy="2002054"/>
            <wp:effectExtent b="0" l="0" r="0" t="0"/>
            <wp:docPr descr="Рис. 6: Программа в файле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lab6-2.asm</w:t>
      </w:r>
    </w:p>
    <w:p>
      <w:pPr>
        <w:pStyle w:val="CaptionedFigure"/>
      </w:pPr>
      <w:bookmarkStart w:id="48" w:name="fig:007"/>
      <w:r>
        <w:drawing>
          <wp:inline>
            <wp:extent cx="5334000" cy="1016363"/>
            <wp:effectExtent b="0" l="0" r="0" t="0"/>
            <wp:docPr descr="Рис. 7: 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(рис. 7)</w:t>
      </w:r>
      <w:r>
        <w:t xml:space="preserve"> </w:t>
      </w:r>
      <w:r>
        <w:t xml:space="preserve">В данном случае,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предыдущей программы,</w:t>
      </w:r>
      <w:r>
        <w:t xml:space="preserve"> </w:t>
      </w:r>
      <w:r>
        <w:t xml:space="preserve">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8)</w:t>
      </w:r>
    </w:p>
    <w:p>
      <w:pPr>
        <w:pStyle w:val="CaptionedFigure"/>
      </w:pPr>
      <w:bookmarkStart w:id="52" w:name="fig:008"/>
      <w:r>
        <w:drawing>
          <wp:inline>
            <wp:extent cx="3580597" cy="2406315"/>
            <wp:effectExtent b="0" l="0" r="0" t="0"/>
            <wp:docPr descr="Рис. 8: Программа в файле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240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10.(рис. 9)</w:t>
      </w:r>
    </w:p>
    <w:p>
      <w:pPr>
        <w:pStyle w:val="CaptionedFigure"/>
      </w:pPr>
      <w:bookmarkStart w:id="56" w:name="fig:009"/>
      <w:r>
        <w:drawing>
          <wp:inline>
            <wp:extent cx="5334000" cy="969113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10)</w:t>
      </w:r>
    </w:p>
    <w:p>
      <w:pPr>
        <w:pStyle w:val="CaptionedFigure"/>
      </w:pPr>
      <w:bookmarkStart w:id="60" w:name="fig:010"/>
      <w:r>
        <w:drawing>
          <wp:inline>
            <wp:extent cx="5334000" cy="940364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 (рис. 11) (рис. 12)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4494997" cy="4745254"/>
            <wp:effectExtent b="0" l="0" r="0" t="0"/>
            <wp:docPr descr="Рис. 11: Программа в файле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lab6-3.asm</w:t>
      </w:r>
    </w:p>
    <w:p>
      <w:pPr>
        <w:pStyle w:val="CaptionedFigure"/>
      </w:pPr>
      <w:bookmarkStart w:id="68" w:name="fig:012"/>
      <w:r>
        <w:drawing>
          <wp:inline>
            <wp:extent cx="5334000" cy="1087134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13) (рис. 14)</w:t>
      </w:r>
    </w:p>
    <w:p>
      <w:pPr>
        <w:pStyle w:val="CaptionedFigure"/>
      </w:pPr>
      <w:bookmarkStart w:id="71" w:name="fig:013"/>
      <w:r>
        <w:drawing>
          <wp:inline>
            <wp:extent cx="5334000" cy="1087134"/>
            <wp:effectExtent b="0" l="0" r="0" t="0"/>
            <wp:docPr descr="Рис. 13: Программа в файле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Программа в файле lab6-3.asm</w:t>
      </w:r>
    </w:p>
    <w:p>
      <w:pPr>
        <w:pStyle w:val="CaptionedFigure"/>
      </w:pPr>
      <w:bookmarkStart w:id="75" w:name="fig:014"/>
      <w:r>
        <w:drawing>
          <wp:inline>
            <wp:extent cx="4360244" cy="5274644"/>
            <wp:effectExtent b="0" l="0" r="0" t="0"/>
            <wp:docPr descr="Рис. 14: Запуск программы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52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15) (рис. 16)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9" w:name="fig:015"/>
      <w:r>
        <w:drawing>
          <wp:inline>
            <wp:extent cx="5062888" cy="5524901"/>
            <wp:effectExtent b="0" l="0" r="0" t="0"/>
            <wp:docPr descr="Рис. 15: Программа в файле variant.asm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Программа в файле variant.asm</w:t>
      </w:r>
    </w:p>
    <w:p>
      <w:pPr>
        <w:pStyle w:val="CaptionedFigure"/>
      </w:pPr>
      <w:bookmarkStart w:id="83" w:name="fig:016"/>
      <w:r>
        <w:drawing>
          <wp:inline>
            <wp:extent cx="5334000" cy="1180157"/>
            <wp:effectExtent b="0" l="0" r="0" t="0"/>
            <wp:docPr descr="Рис. 16: Запуск программы variant.asm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16: Запуск программы variant.asm</w:t>
      </w:r>
    </w:p>
    <w:bookmarkStart w:id="84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</w:t>
      </w:r>
    </w:p>
    <w:bookmarkEnd w:id="84"/>
    <w:bookmarkStart w:id="93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  <m:r>
                <m:t>𝑥</m:t>
              </m:r>
              <m:r>
                <m:rPr>
                  <m:sty m:val="p"/>
                </m:rPr>
                <m:t>−</m:t>
              </m:r>
              <m:r>
                <m:t>8</m:t>
              </m:r>
            </m:e>
          </m:d>
          <m:r>
            <m:rPr>
              <m:sty m:val="p"/>
            </m:rPr>
            <m:t>/</m:t>
          </m:r>
          <m:r>
            <m:t>8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64</m:t>
          </m:r>
        </m:oMath>
      </m:oMathPara>
    </w:p>
    <w:p>
      <w:pPr>
        <w:pStyle w:val="FirstParagraph"/>
      </w:pPr>
      <w:r>
        <w:t xml:space="preserve">(рис. 17) (рис. 18)</w:t>
      </w:r>
    </w:p>
    <w:p>
      <w:pPr>
        <w:pStyle w:val="CaptionedFigure"/>
      </w:pPr>
      <w:bookmarkStart w:id="88" w:name="fig:017"/>
      <w:r>
        <w:drawing>
          <wp:inline>
            <wp:extent cx="4562374" cy="5091764"/>
            <wp:effectExtent b="0" l="0" r="0" t="0"/>
            <wp:docPr descr="Рис. 17: Программа в файле tas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509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в файле task.asm</w:t>
      </w:r>
    </w:p>
    <w:p>
      <w:pPr>
        <w:pStyle w:val="CaptionedFigure"/>
      </w:pPr>
      <w:bookmarkStart w:id="92" w:name="fig:018"/>
      <w:r>
        <w:drawing>
          <wp:inline>
            <wp:extent cx="5334000" cy="1812601"/>
            <wp:effectExtent b="0" l="0" r="0" t="0"/>
            <wp:docPr descr="Рис. 18: Запуск программы task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task.asm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Линь Хаоюнь</dc:creator>
  <dc:language>ru-RU</dc:language>
  <cp:keywords/>
  <dcterms:created xsi:type="dcterms:W3CDTF">2024-11-15T16:27:06Z</dcterms:created>
  <dcterms:modified xsi:type="dcterms:W3CDTF">2024-11-15T16:27:06Z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