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6"/>
        </w:rPr>
        <w:t>开题报告与毕业论文一致性检查说明</w:t>
      </w:r>
    </w:p>
    <w:p>
      <w:pPr>
        <w:spacing w:line="360" w:lineRule="auto" w:after="0"/>
        <w:ind w:firstLine="440"/>
        <w:jc w:val="both"/>
      </w:pPr>
      <w:r>
        <w:rPr>
          <w:rFonts w:ascii="Times New Roman" w:hAnsi="Times New Roman" w:eastAsia="宋体"/>
          <w:b w:val="0"/>
          <w:sz w:val="22"/>
        </w:rPr>
        <w:t>检查以《基于RAG与知识画像的考研学习辅助系统设计与实现》论文初稿为优先依据，重点核对题目、研究对象、技术路线、功能模块、测试范围和进度安排。修正版开题报告仅调整与论文实际内容存在冲突或容易造成过度表述的内容，未改变原模板结构。</w:t>
      </w:r>
    </w:p>
    <w:p>
      <w:pPr>
        <w:spacing w:before="160" w:after="80"/>
      </w:pPr>
      <w:r>
        <w:rPr>
          <w:rFonts w:ascii="Times New Roman" w:hAnsi="Times New Roman" w:eastAsia="黑体"/>
          <w:b/>
          <w:sz w:val="28"/>
        </w:rPr>
        <w:t>一、已修正的冲突</w:t>
      </w:r>
    </w:p>
    <w:p>
      <w:pPr>
        <w:spacing w:line="360" w:lineRule="auto" w:after="0"/>
        <w:ind w:firstLine="440"/>
        <w:jc w:val="both"/>
      </w:pPr>
      <w:r>
        <w:rPr>
          <w:rFonts w:ascii="Times New Roman" w:hAnsi="Times New Roman" w:eastAsia="宋体"/>
          <w:b w:val="0"/>
          <w:sz w:val="22"/>
        </w:rPr>
        <w:t>1. 核心术语：开题报告将“知识切片”同时用于处理过程和数据对象，论文则以“知识片段（KnowledgeChunk）”为核心知识单元。修正版保留“语义切片”作为处理方法，将处理结果统一称为“知识片段”。</w:t>
      </w:r>
    </w:p>
    <w:p>
      <w:pPr>
        <w:spacing w:line="360" w:lineRule="auto" w:after="0"/>
        <w:ind w:firstLine="440"/>
        <w:jc w:val="both"/>
      </w:pPr>
      <w:r>
        <w:rPr>
          <w:rFonts w:ascii="Times New Roman" w:hAnsi="Times New Roman" w:eastAsia="宋体"/>
          <w:b w:val="0"/>
          <w:sz w:val="22"/>
        </w:rPr>
        <w:t>2. 技术架构：开题报告原文容易将Elasticsearch理解为不可缺少的基础组件；论文将MySQL和本地存储作为基础数据支撑，将Elasticsearch、Embedding、OCR和大语言模型接口作为可选增强能力，并设置降级流程。修正版已按论文调整。</w:t>
      </w:r>
    </w:p>
    <w:p>
      <w:pPr>
        <w:spacing w:line="360" w:lineRule="auto" w:after="0"/>
        <w:ind w:firstLine="440"/>
        <w:jc w:val="both"/>
      </w:pPr>
      <w:r>
        <w:rPr>
          <w:rFonts w:ascii="Times New Roman" w:hAnsi="Times New Roman" w:eastAsia="宋体"/>
          <w:b w:val="0"/>
          <w:sz w:val="22"/>
        </w:rPr>
        <w:t>3. 问答验证目标：开题报告原文使用“验证回答准确”的表述，但论文主要完成检索、来源返回、反馈回写和降级流程的功能验证，尚未使用标准问题集量化回答准确率。修正版已改为验证回答生成、来源引用和降级处理的功能正确性。</w:t>
      </w:r>
    </w:p>
    <w:p>
      <w:pPr>
        <w:spacing w:line="360" w:lineRule="auto" w:after="0"/>
        <w:ind w:firstLine="440"/>
        <w:jc w:val="both"/>
      </w:pPr>
      <w:r>
        <w:rPr>
          <w:rFonts w:ascii="Times New Roman" w:hAnsi="Times New Roman" w:eastAsia="宋体"/>
          <w:b w:val="0"/>
          <w:sz w:val="22"/>
        </w:rPr>
        <w:t>4. 研究方法：开题报告原计划对关键词检索、向量检索和混合检索开展典型问题集对比；论文明确将标准问题集、召回率和回答准确性的量化比较列为后续工作。修正版已改为系统功能测试和非功能测试。</w:t>
      </w:r>
    </w:p>
    <w:p>
      <w:pPr>
        <w:spacing w:line="360" w:lineRule="auto" w:after="0"/>
        <w:ind w:firstLine="440"/>
        <w:jc w:val="both"/>
      </w:pPr>
      <w:r>
        <w:rPr>
          <w:rFonts w:ascii="Times New Roman" w:hAnsi="Times New Roman" w:eastAsia="宋体"/>
          <w:b w:val="0"/>
          <w:sz w:val="22"/>
        </w:rPr>
        <w:t>5. 测试安排：开题报告进度中写有“单元测试与集成测试”，论文实际以功能测试、连续业务场景测试和非功能测试为主，并将自动化接口测试列为后续工作。修正版已删除已完成单元/集成测试的暗示。</w:t>
      </w:r>
    </w:p>
    <w:p>
      <w:pPr>
        <w:spacing w:line="360" w:lineRule="auto" w:after="0"/>
        <w:ind w:firstLine="440"/>
        <w:jc w:val="both"/>
      </w:pPr>
      <w:r>
        <w:rPr>
          <w:rFonts w:ascii="Times New Roman" w:hAnsi="Times New Roman" w:eastAsia="宋体"/>
          <w:b w:val="0"/>
          <w:sz w:val="22"/>
        </w:rPr>
        <w:t>6. 性能表述：开题报告原文强调“性能评估数据”，论文完成了非功能测试，但仍认为自动化测试和性能测试存在完善空间。修正版使用“非功能测试结果”，避免超过论文结论。</w:t>
      </w:r>
    </w:p>
    <w:p>
      <w:pPr>
        <w:spacing w:before="160" w:after="80"/>
      </w:pPr>
      <w:r>
        <w:rPr>
          <w:rFonts w:ascii="Times New Roman" w:hAnsi="Times New Roman" w:eastAsia="黑体"/>
          <w:b/>
          <w:sz w:val="28"/>
        </w:rPr>
        <w:t>二、与论文保持一致的内容</w:t>
      </w:r>
    </w:p>
    <w:p>
      <w:pPr>
        <w:spacing w:line="360" w:lineRule="auto" w:after="0"/>
        <w:ind w:firstLine="440"/>
        <w:jc w:val="both"/>
      </w:pPr>
      <w:r>
        <w:rPr>
          <w:rFonts w:ascii="Times New Roman" w:hAnsi="Times New Roman" w:eastAsia="宋体"/>
          <w:b w:val="0"/>
          <w:sz w:val="22"/>
        </w:rPr>
        <w:t>1. 题目、研究场景和问题定义一致，均围绕考研自学中的资料分散、问答来源不清、复习反馈弱、错题与知识点脱节及计划调整缺少依据展开。</w:t>
      </w:r>
    </w:p>
    <w:p>
      <w:pPr>
        <w:spacing w:line="360" w:lineRule="auto" w:after="0"/>
        <w:ind w:firstLine="440"/>
        <w:jc w:val="both"/>
      </w:pPr>
      <w:r>
        <w:rPr>
          <w:rFonts w:ascii="Times New Roman" w:hAnsi="Times New Roman" w:eastAsia="宋体"/>
          <w:b w:val="0"/>
          <w:sz w:val="22"/>
        </w:rPr>
        <w:t>2. 系统核心业务模块一致：资料分类与上传管理、基于个人知识库的智能问答、知识画像分析、错题复盘与知识点关联、个性化学习计划生成；用户学习档案与基础支撑作为运行前置条件。</w:t>
      </w:r>
    </w:p>
    <w:p>
      <w:pPr>
        <w:spacing w:line="360" w:lineRule="auto" w:after="0"/>
        <w:ind w:firstLine="440"/>
        <w:jc w:val="both"/>
      </w:pPr>
      <w:r>
        <w:rPr>
          <w:rFonts w:ascii="Times New Roman" w:hAnsi="Times New Roman" w:eastAsia="宋体"/>
          <w:b w:val="0"/>
          <w:sz w:val="22"/>
        </w:rPr>
        <w:t>3. 技术路线一致：Spring Boot、Vue 3和MySQL构成前后端分离基础架构，结合文档解析、OCR、Embedding、Elasticsearch、RRF和大语言模型实现增强能力。</w:t>
      </w:r>
    </w:p>
    <w:p>
      <w:pPr>
        <w:spacing w:line="360" w:lineRule="auto" w:after="0"/>
        <w:ind w:firstLine="440"/>
        <w:jc w:val="both"/>
      </w:pPr>
      <w:r>
        <w:rPr>
          <w:rFonts w:ascii="Times New Roman" w:hAnsi="Times New Roman" w:eastAsia="宋体"/>
          <w:b w:val="0"/>
          <w:sz w:val="22"/>
        </w:rPr>
        <w:t>4. 学习闭环一致，统一表述为“资料整理-知识检索-错题复盘-薄弱点识别-学习计划调整”。</w:t>
      </w:r>
    </w:p>
    <w:p>
      <w:pPr>
        <w:spacing w:before="160" w:after="80"/>
      </w:pPr>
      <w:r>
        <w:rPr>
          <w:rFonts w:ascii="Times New Roman" w:hAnsi="Times New Roman" w:eastAsia="黑体"/>
          <w:b/>
          <w:sz w:val="28"/>
        </w:rPr>
        <w:t>三、论文自身仍建议统一的表述</w:t>
      </w:r>
    </w:p>
    <w:p>
      <w:pPr>
        <w:spacing w:line="360" w:lineRule="auto" w:after="0"/>
        <w:ind w:firstLine="440"/>
        <w:jc w:val="both"/>
      </w:pPr>
      <w:r>
        <w:rPr>
          <w:rFonts w:ascii="Times New Roman" w:hAnsi="Times New Roman" w:eastAsia="宋体"/>
          <w:b w:val="0"/>
          <w:sz w:val="22"/>
        </w:rPr>
        <w:t>论文内部仍存在“Spring Boot/SpringBoot/SpringBoot3”“Vue 3/Vue3”等书写形式混用，以及“实现基于从个人知识库的问答服务”“知识画像分错题复盘”“主要包括要包括”“系统根据系统根据”等明显文字问题。本次未修改论文原文件；任务书和修正版开题报告采用规范写法，并以论文实际实现内容为准。</w:t>
      </w:r>
    </w:p>
    <w:sectPr w:rsidR="00FC693F" w:rsidRPr="0006063C" w:rsidSect="00034616">
      <w:pgSz w:w="12240" w:h="15840"/>
      <w:pgMar w:top="1134" w:right="1360" w:bottom="1134" w:left="1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