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F24435">
      <w:pPr>
        <w:jc w:val="center"/>
        <w:rPr>
          <w:rFonts w:ascii="宋体" w:hAnsi="宋体"/>
          <w:sz w:val="36"/>
          <w:szCs w:val="36"/>
        </w:rPr>
      </w:pPr>
      <w:r>
        <w:rPr>
          <w:rFonts w:hint="eastAsia" w:ascii="宋体" w:hAnsi="宋体"/>
          <w:sz w:val="36"/>
          <w:szCs w:val="36"/>
        </w:rPr>
        <w:t>青岛理工大学</w:t>
      </w:r>
    </w:p>
    <w:p w14:paraId="0B2F6B51">
      <w:pPr>
        <w:jc w:val="center"/>
        <w:rPr>
          <w:rFonts w:ascii="黑体" w:hAnsi="黑体" w:eastAsia="黑体"/>
          <w:sz w:val="44"/>
        </w:rPr>
      </w:pPr>
      <w:r>
        <w:rPr>
          <w:rFonts w:hint="eastAsia" w:ascii="黑体" w:hAnsi="黑体" w:eastAsia="黑体"/>
          <w:sz w:val="44"/>
        </w:rPr>
        <w:t>本科生毕业设计（论文）开题报告</w:t>
      </w:r>
    </w:p>
    <w:p w14:paraId="3534AF89">
      <w:pPr>
        <w:jc w:val="center"/>
        <w:rPr>
          <w:rFonts w:ascii="宋体" w:hAnsi="宋体"/>
          <w:sz w:val="36"/>
          <w:szCs w:val="36"/>
        </w:rPr>
      </w:pPr>
    </w:p>
    <w:p w14:paraId="413EDB95">
      <w:pPr>
        <w:jc w:val="center"/>
        <w:rPr>
          <w:rFonts w:ascii="宋体" w:hAnsi="宋体"/>
          <w:sz w:val="44"/>
        </w:rPr>
      </w:pPr>
      <w:r>
        <w:drawing>
          <wp:inline distT="0" distB="0" distL="0" distR="0">
            <wp:extent cx="1343660" cy="1343660"/>
            <wp:effectExtent l="0" t="0" r="8890" b="8890"/>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4" cstate="print">
                      <a:clrChange>
                        <a:clrFrom>
                          <a:srgbClr val="FFFFFF"/>
                        </a:clrFrom>
                        <a:clrTo>
                          <a:srgbClr val="FFFFFF">
                            <a:alpha val="0"/>
                          </a:srgbClr>
                        </a:clrTo>
                      </a:clrChange>
                      <a:extLst>
                        <a:ext uri="{28A0092B-C50C-407E-A947-70E740481C1C}">
                          <a14:useLocalDpi xmlns:a14="http://schemas.microsoft.com/office/drawing/2010/main" val="0"/>
                        </a:ext>
                      </a:extLst>
                    </a:blip>
                    <a:srcRect l="13976" t="1179" r="13976" b="24936"/>
                    <a:stretch>
                      <a:fillRect/>
                    </a:stretch>
                  </pic:blipFill>
                  <pic:spPr>
                    <a:xfrm>
                      <a:off x="0" y="0"/>
                      <a:ext cx="1343915" cy="1343915"/>
                    </a:xfrm>
                    <a:custGeom>
                      <a:avLst/>
                      <a:gdLst>
                        <a:gd name="connsiteX0" fmla="*/ 671957 w 1343914"/>
                        <a:gd name="connsiteY0" fmla="*/ 0 h 1343914"/>
                        <a:gd name="connsiteX1" fmla="*/ 1343914 w 1343914"/>
                        <a:gd name="connsiteY1" fmla="*/ 671957 h 1343914"/>
                        <a:gd name="connsiteX2" fmla="*/ 671957 w 1343914"/>
                        <a:gd name="connsiteY2" fmla="*/ 1343914 h 1343914"/>
                        <a:gd name="connsiteX3" fmla="*/ 0 w 1343914"/>
                        <a:gd name="connsiteY3" fmla="*/ 671957 h 1343914"/>
                        <a:gd name="connsiteX4" fmla="*/ 671957 w 1343914"/>
                        <a:gd name="connsiteY4" fmla="*/ 0 h 134391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343914" h="1343914">
                          <a:moveTo>
                            <a:pt x="671957" y="0"/>
                          </a:moveTo>
                          <a:cubicBezTo>
                            <a:pt x="1043069" y="0"/>
                            <a:pt x="1343914" y="300845"/>
                            <a:pt x="1343914" y="671957"/>
                          </a:cubicBezTo>
                          <a:cubicBezTo>
                            <a:pt x="1343914" y="1043069"/>
                            <a:pt x="1043069" y="1343914"/>
                            <a:pt x="671957" y="1343914"/>
                          </a:cubicBezTo>
                          <a:cubicBezTo>
                            <a:pt x="300845" y="1343914"/>
                            <a:pt x="0" y="1043069"/>
                            <a:pt x="0" y="671957"/>
                          </a:cubicBezTo>
                          <a:cubicBezTo>
                            <a:pt x="0" y="300845"/>
                            <a:pt x="300845" y="0"/>
                            <a:pt x="671957" y="0"/>
                          </a:cubicBezTo>
                          <a:close/>
                        </a:path>
                      </a:pathLst>
                    </a:custGeom>
                  </pic:spPr>
                </pic:pic>
              </a:graphicData>
            </a:graphic>
          </wp:inline>
        </w:drawing>
      </w:r>
    </w:p>
    <w:p w14:paraId="237AC18A">
      <w:pPr>
        <w:jc w:val="center"/>
        <w:rPr>
          <w:rFonts w:ascii="宋体" w:hAnsi="宋体"/>
          <w:sz w:val="44"/>
        </w:rPr>
      </w:pPr>
    </w:p>
    <w:p w14:paraId="375F9FE1">
      <w:pPr>
        <w:jc w:val="center"/>
        <w:rPr>
          <w:rFonts w:ascii="黑体" w:hAnsi="黑体" w:eastAsia="黑体"/>
          <w:bCs/>
          <w:sz w:val="30"/>
        </w:rPr>
      </w:pPr>
    </w:p>
    <w:p w14:paraId="6A853EEC">
      <w:pPr>
        <w:rPr>
          <w:rFonts w:ascii="宋体" w:hAnsi="宋体"/>
        </w:rPr>
      </w:pPr>
    </w:p>
    <w:p w14:paraId="14CBC8D1">
      <w:pPr>
        <w:rPr>
          <w:rFonts w:ascii="宋体" w:hAnsi="宋体"/>
        </w:rPr>
      </w:pPr>
    </w:p>
    <w:p w14:paraId="68E3AEAC">
      <w:pPr>
        <w:rPr>
          <w:rFonts w:ascii="宋体" w:hAnsi="宋体"/>
        </w:rPr>
      </w:pPr>
    </w:p>
    <w:p w14:paraId="01B0F7E5">
      <w:pPr>
        <w:rPr>
          <w:rFonts w:ascii="宋体" w:hAnsi="宋体"/>
        </w:rPr>
      </w:pPr>
    </w:p>
    <w:p w14:paraId="7D22C5E2">
      <w:pPr>
        <w:spacing w:line="720" w:lineRule="exact"/>
        <w:ind w:left="275"/>
        <w:rPr>
          <w:rFonts w:ascii="宋体" w:hAnsi="宋体"/>
          <w:sz w:val="30"/>
        </w:rPr>
      </w:pPr>
      <w:r>
        <w:rPr>
          <w:rFonts w:hint="eastAsia" w:ascii="宋体" w:hAnsi="宋体"/>
          <w:sz w:val="24"/>
        </w:rPr>
        <w:t xml:space="preserve">       </w:t>
      </w:r>
    </w:p>
    <w:p w14:paraId="3A0E6A10">
      <w:pPr>
        <w:spacing w:line="720" w:lineRule="exact"/>
        <w:ind w:firstLine="1938" w:firstLineChars="646"/>
        <w:rPr>
          <w:rFonts w:ascii="宋体" w:hAnsi="宋体"/>
          <w:sz w:val="30"/>
        </w:rPr>
      </w:pPr>
      <w:r>
        <w:rPr>
          <w:rFonts w:hint="eastAsia" w:ascii="宋体" w:hAnsi="宋体"/>
          <w:sz w:val="30"/>
        </w:rPr>
        <w:t xml:space="preserve">学    院 </w:t>
      </w:r>
      <w:r>
        <w:rPr>
          <w:rFonts w:hint="eastAsia" w:ascii="宋体" w:hAnsi="宋体"/>
          <w:sz w:val="30"/>
          <w:u w:val="single"/>
        </w:rPr>
        <w:t xml:space="preserve">        </w:t>
      </w:r>
      <w:r>
        <w:rPr>
          <w:rFonts w:hint="eastAsia" w:ascii="宋体" w:hAnsi="宋体"/>
          <w:sz w:val="30"/>
          <w:u w:val="single"/>
          <w:lang w:val="en-US" w:eastAsia="zh-CN"/>
        </w:rPr>
        <w:t>信息管理学院</w:t>
      </w:r>
      <w:r>
        <w:rPr>
          <w:rFonts w:hint="eastAsia" w:ascii="宋体" w:hAnsi="宋体"/>
          <w:sz w:val="30"/>
          <w:u w:val="single"/>
        </w:rPr>
        <w:t xml:space="preserve">        </w:t>
      </w:r>
    </w:p>
    <w:p w14:paraId="5607B510">
      <w:pPr>
        <w:spacing w:line="720" w:lineRule="exact"/>
        <w:ind w:left="275" w:leftChars="131" w:firstLine="1638" w:firstLineChars="546"/>
        <w:rPr>
          <w:rFonts w:ascii="宋体" w:hAnsi="宋体"/>
          <w:sz w:val="30"/>
        </w:rPr>
      </w:pPr>
      <w:r>
        <w:rPr>
          <w:rFonts w:hint="eastAsia" w:ascii="宋体" w:hAnsi="宋体"/>
          <w:sz w:val="30"/>
        </w:rPr>
        <w:t xml:space="preserve">专业班级 </w:t>
      </w:r>
      <w:r>
        <w:rPr>
          <w:rFonts w:hint="eastAsia" w:ascii="宋体" w:hAnsi="宋体"/>
          <w:sz w:val="30"/>
          <w:u w:val="single"/>
        </w:rPr>
        <w:t xml:space="preserve">          </w:t>
      </w:r>
      <w:r>
        <w:rPr>
          <w:rFonts w:hint="eastAsia" w:ascii="宋体" w:hAnsi="宋体"/>
          <w:sz w:val="30"/>
          <w:u w:val="single"/>
          <w:lang w:val="en-US" w:eastAsia="zh-CN"/>
        </w:rPr>
        <w:t>软件222</w:t>
      </w:r>
      <w:r>
        <w:rPr>
          <w:rFonts w:hint="eastAsia" w:ascii="宋体" w:hAnsi="宋体"/>
          <w:sz w:val="30"/>
          <w:u w:val="single"/>
        </w:rPr>
        <w:t xml:space="preserve">           </w:t>
      </w:r>
    </w:p>
    <w:p w14:paraId="7E22E096">
      <w:pPr>
        <w:spacing w:line="720" w:lineRule="exact"/>
        <w:ind w:left="275" w:leftChars="131" w:firstLine="1638" w:firstLineChars="546"/>
        <w:rPr>
          <w:rFonts w:ascii="宋体" w:hAnsi="宋体"/>
          <w:sz w:val="30"/>
        </w:rPr>
      </w:pPr>
      <w:r>
        <w:rPr>
          <w:rFonts w:hint="eastAsia" w:ascii="宋体" w:hAnsi="宋体"/>
          <w:sz w:val="30"/>
        </w:rPr>
        <w:t xml:space="preserve">学生学号 </w:t>
      </w:r>
      <w:r>
        <w:rPr>
          <w:rFonts w:hint="eastAsia" w:ascii="宋体" w:hAnsi="宋体"/>
          <w:sz w:val="30"/>
          <w:u w:val="single"/>
        </w:rPr>
        <w:t xml:space="preserve">        </w:t>
      </w:r>
      <w:r>
        <w:rPr>
          <w:rFonts w:hint="eastAsia" w:ascii="宋体" w:hAnsi="宋体"/>
          <w:sz w:val="30"/>
          <w:u w:val="single"/>
          <w:lang w:val="en-US" w:eastAsia="zh-CN"/>
        </w:rPr>
        <w:t xml:space="preserve"> 202201050631</w:t>
      </w:r>
      <w:r>
        <w:rPr>
          <w:rFonts w:hint="eastAsia" w:ascii="宋体" w:hAnsi="宋体"/>
          <w:sz w:val="30"/>
          <w:u w:val="single"/>
        </w:rPr>
        <w:t xml:space="preserve">      </w:t>
      </w:r>
      <w:r>
        <w:rPr>
          <w:rFonts w:hint="eastAsia" w:ascii="宋体" w:hAnsi="宋体"/>
          <w:sz w:val="30"/>
          <w:u w:val="single"/>
          <w:lang w:val="en-US" w:eastAsia="zh-CN"/>
        </w:rPr>
        <w:t xml:space="preserve"> </w:t>
      </w:r>
      <w:r>
        <w:rPr>
          <w:rFonts w:hint="eastAsia" w:ascii="宋体" w:hAnsi="宋体"/>
          <w:sz w:val="30"/>
          <w:u w:val="single"/>
        </w:rPr>
        <w:t xml:space="preserve"> </w:t>
      </w:r>
    </w:p>
    <w:p w14:paraId="00BA0B12">
      <w:pPr>
        <w:spacing w:line="720" w:lineRule="exact"/>
        <w:ind w:left="275" w:leftChars="131" w:firstLine="1638" w:firstLineChars="546"/>
        <w:rPr>
          <w:rFonts w:ascii="宋体" w:hAnsi="宋体"/>
          <w:sz w:val="30"/>
        </w:rPr>
      </w:pPr>
      <w:r>
        <w:rPr>
          <w:rFonts w:hint="eastAsia" w:ascii="宋体" w:hAnsi="宋体"/>
          <w:sz w:val="30"/>
        </w:rPr>
        <w:t xml:space="preserve">学生姓名 </w:t>
      </w:r>
      <w:r>
        <w:rPr>
          <w:rFonts w:hint="eastAsia" w:ascii="宋体" w:hAnsi="宋体"/>
          <w:sz w:val="30"/>
          <w:u w:val="single"/>
        </w:rPr>
        <w:t xml:space="preserve">           </w:t>
      </w:r>
      <w:r>
        <w:rPr>
          <w:rFonts w:hint="eastAsia" w:ascii="宋体" w:hAnsi="宋体"/>
          <w:sz w:val="30"/>
          <w:u w:val="single"/>
          <w:lang w:val="en-US" w:eastAsia="zh-CN"/>
        </w:rPr>
        <w:t>金宁丰</w:t>
      </w:r>
      <w:r>
        <w:rPr>
          <w:rFonts w:hint="eastAsia" w:ascii="宋体" w:hAnsi="宋体"/>
          <w:sz w:val="30"/>
          <w:u w:val="single"/>
        </w:rPr>
        <w:t xml:space="preserve">          </w:t>
      </w:r>
      <w:r>
        <w:rPr>
          <w:rFonts w:hint="eastAsia" w:ascii="宋体" w:hAnsi="宋体"/>
          <w:sz w:val="30"/>
          <w:u w:val="single"/>
          <w:lang w:val="en-US" w:eastAsia="zh-CN"/>
        </w:rPr>
        <w:t xml:space="preserve"> </w:t>
      </w:r>
      <w:r>
        <w:rPr>
          <w:rFonts w:hint="eastAsia" w:ascii="宋体" w:hAnsi="宋体"/>
          <w:sz w:val="30"/>
          <w:u w:val="single"/>
        </w:rPr>
        <w:t xml:space="preserve"> </w:t>
      </w:r>
    </w:p>
    <w:p w14:paraId="7C47665C">
      <w:pPr>
        <w:spacing w:line="720" w:lineRule="exact"/>
        <w:ind w:firstLine="1938" w:firstLineChars="646"/>
        <w:rPr>
          <w:rFonts w:ascii="宋体" w:hAnsi="宋体"/>
          <w:sz w:val="30"/>
        </w:rPr>
      </w:pPr>
      <w:r>
        <w:rPr>
          <w:rFonts w:hint="eastAsia" w:ascii="宋体" w:hAnsi="宋体"/>
          <w:sz w:val="30"/>
        </w:rPr>
        <w:t xml:space="preserve">指导教师 </w:t>
      </w:r>
      <w:r>
        <w:rPr>
          <w:rFonts w:hint="eastAsia" w:ascii="宋体" w:hAnsi="宋体"/>
          <w:sz w:val="30"/>
          <w:u w:val="single"/>
        </w:rPr>
        <w:t xml:space="preserve">            </w:t>
      </w:r>
      <w:r>
        <w:rPr>
          <w:rFonts w:hint="eastAsia" w:ascii="宋体" w:hAnsi="宋体"/>
          <w:sz w:val="30"/>
          <w:u w:val="single"/>
          <w:lang w:val="en-US" w:eastAsia="zh-CN"/>
        </w:rPr>
        <w:t>陈晓琳</w:t>
      </w:r>
      <w:r>
        <w:rPr>
          <w:rFonts w:hint="eastAsia" w:ascii="宋体" w:hAnsi="宋体"/>
          <w:sz w:val="30"/>
          <w:u w:val="single"/>
        </w:rPr>
        <w:t xml:space="preserve">           </w:t>
      </w:r>
    </w:p>
    <w:p w14:paraId="5A2ED9CC">
      <w:pPr>
        <w:spacing w:line="720" w:lineRule="exact"/>
        <w:ind w:firstLine="1800" w:firstLineChars="600"/>
        <w:rPr>
          <w:rFonts w:ascii="宋体" w:hAnsi="宋体"/>
          <w:sz w:val="30"/>
        </w:rPr>
      </w:pPr>
      <w:r>
        <w:rPr>
          <w:rFonts w:hint="eastAsia" w:ascii="宋体" w:hAnsi="宋体"/>
          <w:sz w:val="30"/>
        </w:rPr>
        <w:t xml:space="preserve"> 指导教师职称</w:t>
      </w:r>
      <w:r>
        <w:rPr>
          <w:rFonts w:hint="eastAsia" w:ascii="宋体" w:hAnsi="宋体"/>
          <w:sz w:val="30"/>
          <w:u w:val="single"/>
        </w:rPr>
        <w:t xml:space="preserve">          讲师            </w:t>
      </w:r>
    </w:p>
    <w:p w14:paraId="52664E96">
      <w:pPr>
        <w:spacing w:line="720" w:lineRule="exact"/>
        <w:ind w:left="105"/>
        <w:rPr>
          <w:rFonts w:ascii="宋体" w:hAnsi="宋体"/>
          <w:sz w:val="28"/>
        </w:rPr>
      </w:pPr>
      <w:r>
        <w:rPr>
          <w:rFonts w:hint="eastAsia" w:ascii="宋体" w:hAnsi="宋体"/>
          <w:sz w:val="28"/>
        </w:rPr>
        <w:t xml:space="preserve">       </w:t>
      </w:r>
      <w:r>
        <w:rPr>
          <w:rFonts w:hint="eastAsia" w:ascii="宋体" w:hAnsi="宋体"/>
          <w:sz w:val="18"/>
        </w:rPr>
        <w:t xml:space="preserve"> </w:t>
      </w:r>
      <w:r>
        <w:rPr>
          <w:rFonts w:hint="eastAsia" w:ascii="宋体" w:hAnsi="宋体"/>
          <w:sz w:val="30"/>
        </w:rPr>
        <w:t xml:space="preserve"> </w:t>
      </w:r>
    </w:p>
    <w:p w14:paraId="39E1A46A">
      <w:pPr>
        <w:jc w:val="center"/>
        <w:rPr>
          <w:rFonts w:ascii="宋体" w:hAnsi="宋体"/>
          <w:sz w:val="28"/>
        </w:rPr>
      </w:pPr>
    </w:p>
    <w:p w14:paraId="206D3AC5">
      <w:pPr>
        <w:jc w:val="center"/>
        <w:rPr>
          <w:rFonts w:ascii="宋体" w:hAnsi="宋体"/>
          <w:sz w:val="28"/>
        </w:rPr>
      </w:pPr>
      <w:r>
        <w:rPr>
          <w:rFonts w:hint="eastAsia" w:ascii="宋体" w:hAnsi="宋体"/>
          <w:sz w:val="28"/>
          <w:lang w:val="en-US" w:eastAsia="zh-CN"/>
        </w:rPr>
        <w:t>2026</w:t>
      </w:r>
      <w:r>
        <w:rPr>
          <w:rFonts w:hint="eastAsia" w:ascii="宋体" w:hAnsi="宋体"/>
          <w:sz w:val="28"/>
        </w:rPr>
        <w:t>年</w:t>
      </w:r>
      <w:r>
        <w:rPr>
          <w:rFonts w:hint="eastAsia" w:ascii="宋体" w:hAnsi="宋体"/>
          <w:sz w:val="28"/>
          <w:lang w:val="en-US" w:eastAsia="zh-CN"/>
        </w:rPr>
        <w:t>6</w:t>
      </w:r>
      <w:r>
        <w:rPr>
          <w:rFonts w:hint="eastAsia" w:ascii="宋体" w:hAnsi="宋体"/>
          <w:sz w:val="28"/>
        </w:rPr>
        <w:t>月</w:t>
      </w:r>
      <w:r>
        <w:rPr>
          <w:rFonts w:hint="eastAsia" w:ascii="宋体" w:hAnsi="宋体"/>
          <w:sz w:val="28"/>
          <w:lang w:val="en-US" w:eastAsia="zh-CN"/>
        </w:rPr>
        <w:t>11</w:t>
      </w:r>
      <w:r>
        <w:rPr>
          <w:rFonts w:hint="eastAsia" w:ascii="宋体" w:hAnsi="宋体"/>
          <w:sz w:val="28"/>
        </w:rPr>
        <w:t>日</w:t>
      </w:r>
    </w:p>
    <w:p w14:paraId="19745D41">
      <w:pPr>
        <w:rPr>
          <w:rFonts w:ascii="宋体" w:hAnsi="宋体"/>
          <w:sz w:val="28"/>
        </w:rPr>
      </w:pPr>
    </w:p>
    <w:tbl>
      <w:tblPr>
        <w:tblStyle w:val="4"/>
        <w:tblW w:w="8603" w:type="dxa"/>
        <w:tblInd w:w="-8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03"/>
      </w:tblGrid>
      <w:tr w14:paraId="0E961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8603" w:type="dxa"/>
          </w:tcPr>
          <w:p w14:paraId="202A373E">
            <w:pPr>
              <w:spacing w:line="500" w:lineRule="exact"/>
              <w:jc w:val="center"/>
              <w:rPr>
                <w:rFonts w:ascii="宋体" w:hAnsi="宋体"/>
                <w:sz w:val="28"/>
              </w:rPr>
            </w:pPr>
            <w:r>
              <w:rPr>
                <w:rFonts w:hint="eastAsia" w:ascii="宋体" w:hAnsi="宋体"/>
                <w:sz w:val="24"/>
              </w:rPr>
              <w:t>毕业设计（论文）题目</w:t>
            </w:r>
          </w:p>
        </w:tc>
      </w:tr>
      <w:tr w14:paraId="6C036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trPr>
        <w:tc>
          <w:tcPr>
            <w:tcW w:w="8603" w:type="dxa"/>
          </w:tcPr>
          <w:p w14:paraId="2F946C17">
            <w:pPr>
              <w:spacing w:line="500" w:lineRule="exact"/>
              <w:rPr>
                <w:rFonts w:ascii="宋体" w:hAnsi="宋体"/>
                <w:sz w:val="24"/>
              </w:rPr>
            </w:pPr>
            <w:r>
              <w:rPr>
                <w:rFonts w:hint="eastAsia" w:ascii="宋体" w:hAnsi="宋体"/>
                <w:sz w:val="24"/>
              </w:rPr>
              <w:t>基于RAG与知识画像的考研学习辅助系统设计与实现</w:t>
            </w:r>
          </w:p>
        </w:tc>
      </w:tr>
      <w:tr w14:paraId="3A90B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trPr>
        <w:tc>
          <w:tcPr>
            <w:tcW w:w="8603" w:type="dxa"/>
            <w:vAlign w:val="center"/>
          </w:tcPr>
          <w:p w14:paraId="5AAD0474">
            <w:pPr>
              <w:spacing w:line="500" w:lineRule="exact"/>
              <w:jc w:val="center"/>
              <w:rPr>
                <w:rFonts w:ascii="宋体" w:hAnsi="宋体"/>
                <w:sz w:val="28"/>
              </w:rPr>
            </w:pPr>
            <w:r>
              <w:rPr>
                <w:rFonts w:hint="eastAsia" w:ascii="宋体" w:hAnsi="宋体"/>
                <w:sz w:val="24"/>
              </w:rPr>
              <w:t>题目来源</w:t>
            </w:r>
          </w:p>
        </w:tc>
      </w:tr>
      <w:tr w14:paraId="09C6C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8" w:hRule="atLeast"/>
        </w:trPr>
        <w:tc>
          <w:tcPr>
            <w:tcW w:w="8603" w:type="dxa"/>
          </w:tcPr>
          <w:p w14:paraId="5C06BE7E">
            <w:pPr>
              <w:spacing w:line="500" w:lineRule="exact"/>
              <w:rPr>
                <w:rFonts w:hint="eastAsia" w:ascii="宋体" w:hAnsi="宋体" w:eastAsia="宋体"/>
                <w:sz w:val="28"/>
                <w:lang w:val="en-US" w:eastAsia="zh-CN"/>
              </w:rPr>
            </w:pPr>
            <w:r>
              <w:rPr>
                <w:rFonts w:hint="eastAsia" w:ascii="宋体" w:hAnsi="宋体"/>
                <w:sz w:val="28"/>
                <w:lang w:val="en-US" w:eastAsia="zh-CN"/>
              </w:rPr>
              <w:t>学生自选</w:t>
            </w:r>
          </w:p>
        </w:tc>
      </w:tr>
      <w:tr w14:paraId="16800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6" w:hRule="atLeast"/>
        </w:trPr>
        <w:tc>
          <w:tcPr>
            <w:tcW w:w="8603" w:type="dxa"/>
            <w:tcBorders>
              <w:bottom w:val="nil"/>
            </w:tcBorders>
            <w:vAlign w:val="top"/>
          </w:tcPr>
          <w:p w14:paraId="2A1DE8C7">
            <w:pPr>
              <w:keepNext w:val="0"/>
              <w:keepLines w:val="0"/>
              <w:pageBreakBefore w:val="0"/>
              <w:widowControl w:val="0"/>
              <w:kinsoku/>
              <w:wordWrap/>
              <w:overflowPunct/>
              <w:topLinePunct w:val="0"/>
              <w:autoSpaceDE/>
              <w:autoSpaceDN/>
              <w:bidi w:val="0"/>
              <w:adjustRightInd/>
              <w:snapToGrid/>
              <w:spacing w:line="500" w:lineRule="exact"/>
              <w:textAlignment w:val="auto"/>
              <w:rPr>
                <w:rFonts w:ascii="宋体" w:hAnsi="宋体"/>
                <w:sz w:val="24"/>
              </w:rPr>
            </w:pPr>
            <w:r>
              <w:rPr>
                <w:rFonts w:hint="eastAsia" w:ascii="宋体" w:hAnsi="宋体"/>
                <w:sz w:val="24"/>
              </w:rPr>
              <w:t>一、本课题的研究目的和意义</w:t>
            </w:r>
          </w:p>
          <w:p w14:paraId="2E9C7604">
            <w:pPr>
              <w:pStyle w:val="8"/>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考研备考具有周期长、知识量大、资料来源多样等特点。学习者通常需要同时管理教材、讲义、个人笔记、历年真题、错题截图和专题总结，容易出现资料分散、知识定位效率低、错题复盘不连续、薄弱点难以识别以及学习计划缺少动态依据等问题。现有在线学习平台和电子笔记工具能够提供课程获取或资料存储功能，但对个人资料的语义理解、来源追溯和学习状态联动支持仍较有限。</w:t>
            </w:r>
          </w:p>
          <w:p w14:paraId="50209385">
            <w:pPr>
              <w:pStyle w:val="8"/>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本课题拟设计一套基于RAG与知识画像的考研学习辅助系统，将用户上传的多类型学习资料转化为可检索、可引用、可记录学习状态的知识片段；采用关键词检索与向量检索相结合的方式支持个人知识库问答；根据问答反馈、错题练习和知识片段事件构建知识画像，并据此辅助生成复习建议与学习计划，形成“资料整理—知识检索—错题复盘—薄弱点识别—计划调整”的学习闭环。</w:t>
            </w:r>
          </w:p>
          <w:p w14:paraId="7841FC7C">
            <w:pPr>
              <w:pStyle w:val="8"/>
              <w:keepNext w:val="0"/>
              <w:keepLines w:val="0"/>
              <w:pageBreakBefore w:val="0"/>
              <w:widowControl w:val="0"/>
              <w:kinsoku/>
              <w:wordWrap/>
              <w:overflowPunct/>
              <w:topLinePunct w:val="0"/>
              <w:autoSpaceDE/>
              <w:autoSpaceDN/>
              <w:bidi w:val="0"/>
              <w:adjustRightInd/>
              <w:snapToGrid/>
              <w:textAlignment w:val="auto"/>
              <w:rPr>
                <w:rFonts w:ascii="宋体" w:hAnsi="宋体"/>
              </w:rPr>
            </w:pPr>
            <w:r>
              <w:rPr>
                <w:rFonts w:hint="eastAsia"/>
              </w:rPr>
              <w:t>本课题的研究意义主要体现在三个方面：在理论层面，探索RAG问答、学习行为分析与知识画像在个人考研场景中的结合方式；在实践层面，帮助学习者集中管理资料、快速定位知识依据并开展针对性复习；在工程层面，形成基于SpringBoot、Vue3、MySQL、Elasticsearch和大语言模型接口的模块化实现方案，为智能学习系统和个人知识库平台的开发提供参考。</w:t>
            </w:r>
          </w:p>
        </w:tc>
      </w:tr>
      <w:tr w14:paraId="77B83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03" w:type="dxa"/>
            <w:tcBorders>
              <w:top w:val="nil"/>
            </w:tcBorders>
          </w:tcPr>
          <w:p w14:paraId="488ED3C7">
            <w:pPr>
              <w:spacing w:line="500" w:lineRule="exact"/>
              <w:rPr>
                <w:rFonts w:ascii="宋体" w:hAnsi="宋体"/>
                <w:sz w:val="24"/>
              </w:rPr>
            </w:pPr>
            <w:r>
              <w:rPr>
                <w:rFonts w:hint="eastAsia" w:ascii="宋体" w:hAnsi="宋体"/>
                <w:sz w:val="24"/>
              </w:rPr>
              <w:t>二、国内外研究现状及发展趋势</w:t>
            </w:r>
          </w:p>
          <w:p w14:paraId="67AE2A08">
            <w:pPr>
              <w:pStyle w:val="8"/>
              <w:bidi w:val="0"/>
              <w:rPr>
                <w:rFonts w:hint="eastAsia"/>
              </w:rPr>
            </w:pPr>
            <w:r>
              <w:rPr>
                <w:rFonts w:hint="eastAsia"/>
              </w:rPr>
              <w:t>国内外在线学习系统的研究已由课程资源发布和学习记录保存，逐步转向个性化学习路径、学习过程支持和资源推荐。但多数应用依赖固定课程结构和教师组织，难以直接适应考研自学中资料来源分散、复习节奏差异大等特点。</w:t>
            </w:r>
          </w:p>
          <w:p w14:paraId="2A3EAD75">
            <w:pPr>
              <w:pStyle w:val="8"/>
              <w:bidi w:val="0"/>
              <w:rPr>
                <w:rFonts w:hint="eastAsia"/>
              </w:rPr>
            </w:pPr>
            <w:r>
              <w:rPr>
                <w:rFonts w:hint="eastAsia"/>
              </w:rPr>
              <w:t>在智能问答领域，传统系统主要依赖规则、关键词匹配或结构化知识库。大语言模型提升了自然语言理解和答案生成能力，但其参数知识难以及时覆盖用户私有资料，且可能产生无法核验的内容。RAG框架将外部检索结果作为生成模型的上下文，为知识密集型问答提供了可追溯路径。近年来，国内外研究进一步关注知识库构建、文档切分、混合召回、候选重排和回答引用等环节。</w:t>
            </w:r>
          </w:p>
          <w:p w14:paraId="76CEED7D">
            <w:pPr>
              <w:pStyle w:val="8"/>
              <w:bidi w:val="0"/>
              <w:rPr>
                <w:rFonts w:hint="eastAsia"/>
              </w:rPr>
            </w:pPr>
            <w:r>
              <w:rPr>
                <w:rFonts w:hint="eastAsia"/>
              </w:rPr>
              <w:t>在检索方法方面，关键词检索适合匹配明确术语，向量检索能够发现表述不同但语义相近的内容。现有研究较多关注召回率和回答准确性，对问答后的学习反馈如何持续沉淀为个人学习状态研究相对不足。</w:t>
            </w:r>
          </w:p>
          <w:p w14:paraId="4BC93427">
            <w:pPr>
              <w:pStyle w:val="8"/>
              <w:bidi w:val="0"/>
              <w:rPr>
                <w:rFonts w:hint="eastAsia"/>
              </w:rPr>
            </w:pPr>
            <w:r>
              <w:rPr>
                <w:rFonts w:hint="eastAsia"/>
              </w:rPr>
              <w:t>教育知识图谱、学习分析和知识追踪研究为学习诊断提供了另一类思路。相关工作通过组织知识点、学习资源、答题记录和学习行为，对掌握状态进行估计并支持个性化推荐。但个人考研资料规模较小、格式不统一，直接构建复杂知识图谱或采用需要大量交互数据的知识追踪模型，存在成本较高和冷启动明显等问题。</w:t>
            </w:r>
          </w:p>
          <w:p w14:paraId="272763F7">
            <w:pPr>
              <w:pStyle w:val="8"/>
              <w:bidi w:val="0"/>
              <w:rPr>
                <w:rFonts w:ascii="宋体" w:hAnsi="宋体"/>
                <w:sz w:val="28"/>
              </w:rPr>
            </w:pPr>
            <w:r>
              <w:rPr>
                <w:rFonts w:hint="eastAsia"/>
              </w:rPr>
              <w:t>综合来看，相关研究正呈现三个趋势：一是从通用模型问答转向基于私有知识库的可追溯问答；二是从单一检索转向关键词、向量召回与重排序结合的混合检索；三是从孤立的问答或错题功能转向学习行为、薄弱点分析和计划推荐联动。面向考研自学场景，仍需研究一种数据要求较低、能够连接个人资料、问答反馈、错题复盘和学习计划的轻量化知识画像方案。</w:t>
            </w:r>
          </w:p>
          <w:p w14:paraId="64F3F5B5">
            <w:pPr>
              <w:spacing w:line="500" w:lineRule="exact"/>
              <w:rPr>
                <w:rFonts w:ascii="宋体" w:hAnsi="宋体"/>
                <w:sz w:val="28"/>
              </w:rPr>
            </w:pPr>
            <w:r>
              <w:rPr>
                <w:rFonts w:hint="eastAsia" w:ascii="宋体" w:hAnsi="宋体"/>
                <w:sz w:val="24"/>
              </w:rPr>
              <w:t>三、本课题主要研究内容</w:t>
            </w:r>
          </w:p>
          <w:p w14:paraId="7BA5A310">
            <w:pPr>
              <w:pStyle w:val="8"/>
              <w:bidi w:val="0"/>
              <w:rPr>
                <w:rFonts w:hint="eastAsia"/>
              </w:rPr>
            </w:pPr>
            <w:r>
              <w:rPr>
                <w:rFonts w:hint="eastAsia"/>
              </w:rPr>
              <w:t>（1）系统需求与总体架构。分析考研学习者在资料管理、知识问答、错题复盘和学习计划方面的需求，拟采用前后端分离架构，划分用户与学习档案、资料管理、知识库问答、知识画像、错题复盘和学习计划等模块。</w:t>
            </w:r>
          </w:p>
          <w:p w14:paraId="2CB9AF3C">
            <w:pPr>
              <w:pStyle w:val="8"/>
              <w:bidi w:val="0"/>
              <w:rPr>
                <w:rFonts w:hint="eastAsia"/>
              </w:rPr>
            </w:pPr>
            <w:r>
              <w:rPr>
                <w:rFonts w:hint="eastAsia"/>
              </w:rPr>
              <w:t>（2）个人知识库构建。研究PDF、Word、图片和文本等资料的文本抽取方法，结合标题、句子边界和语义连续性进行知识切片，将长篇资料转化为可检索、可引用、可记录学习事件的</w:t>
            </w:r>
            <w:r>
              <w:rPr>
                <w:rFonts w:hint="eastAsia"/>
                <w:lang w:val="en-US" w:eastAsia="zh-CN"/>
              </w:rPr>
              <w:t>知识切片</w:t>
            </w:r>
            <w:r>
              <w:rPr>
                <w:rFonts w:hint="eastAsia"/>
              </w:rPr>
              <w:t>。</w:t>
            </w:r>
          </w:p>
          <w:p w14:paraId="47D657EA">
            <w:pPr>
              <w:pStyle w:val="8"/>
              <w:bidi w:val="0"/>
              <w:rPr>
                <w:rFonts w:hint="eastAsia"/>
              </w:rPr>
            </w:pPr>
            <w:r>
              <w:rPr>
                <w:rFonts w:hint="eastAsia"/>
              </w:rPr>
              <w:t>（3）混合检索与RAG问答。研究关键词检索与Embedding向量检索的互补召回机制，采用RRF进行结果融合，并结合规则重排、去重和多样性筛选构造模型上下文，</w:t>
            </w:r>
            <w:r>
              <w:rPr>
                <w:rFonts w:hint="eastAsia"/>
                <w:lang w:val="en-US" w:eastAsia="zh-CN"/>
              </w:rPr>
              <w:t>验证大模型</w:t>
            </w:r>
            <w:r>
              <w:rPr>
                <w:rFonts w:hint="eastAsia"/>
              </w:rPr>
              <w:t>回答能够</w:t>
            </w:r>
            <w:r>
              <w:rPr>
                <w:rFonts w:hint="eastAsia"/>
                <w:lang w:val="en-US" w:eastAsia="zh-CN"/>
              </w:rPr>
              <w:t>准确根据</w:t>
            </w:r>
            <w:r>
              <w:rPr>
                <w:rFonts w:hint="eastAsia"/>
              </w:rPr>
              <w:t>个人资料生成并提供来源引用。</w:t>
            </w:r>
          </w:p>
          <w:p w14:paraId="409F0CF1">
            <w:pPr>
              <w:pStyle w:val="8"/>
              <w:bidi w:val="0"/>
              <w:rPr>
                <w:rFonts w:hint="eastAsia"/>
              </w:rPr>
            </w:pPr>
            <w:r>
              <w:rPr>
                <w:rFonts w:hint="eastAsia"/>
              </w:rPr>
              <w:t>（4）知识画像分析。围绕知识片段汇总问答引用、用户反馈、错题关联、练习结果和复习时间等事件，设计掌握程度、错误频率、遗忘风险和复习优先级等指标，形成可动态更新的个人知识画像。</w:t>
            </w:r>
          </w:p>
          <w:p w14:paraId="152DE066">
            <w:pPr>
              <w:pStyle w:val="8"/>
              <w:bidi w:val="0"/>
              <w:rPr>
                <w:rFonts w:hint="eastAsia"/>
              </w:rPr>
            </w:pPr>
            <w:r>
              <w:rPr>
                <w:rFonts w:hint="eastAsia"/>
              </w:rPr>
              <w:t>（5）错题复盘与知识点关联。支持错题录入、附件识别、标签分类、状态管理和练习记录，将错题与相关知识片段建立关联，使练习结果能够回写并更新画像。</w:t>
            </w:r>
          </w:p>
          <w:p w14:paraId="0E65F016">
            <w:pPr>
              <w:pStyle w:val="8"/>
              <w:bidi w:val="0"/>
              <w:rPr>
                <w:rFonts w:ascii="宋体" w:hAnsi="宋体"/>
                <w:sz w:val="28"/>
              </w:rPr>
            </w:pPr>
            <w:r>
              <w:rPr>
                <w:rFonts w:hint="eastAsia"/>
              </w:rPr>
              <w:t>（6）个性化学习计划。根据知识画像和错题分析结果生成学习建议与计划草稿，经用户确认后写入日程</w:t>
            </w:r>
            <w:r>
              <w:rPr>
                <w:rFonts w:hint="eastAsia"/>
                <w:lang w:eastAsia="zh-CN"/>
              </w:rPr>
              <w:t>。</w:t>
            </w:r>
          </w:p>
        </w:tc>
      </w:tr>
      <w:tr w14:paraId="4EBA4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03" w:type="dxa"/>
          </w:tcPr>
          <w:p w14:paraId="71DF0ACB">
            <w:pPr>
              <w:spacing w:line="500" w:lineRule="exact"/>
              <w:rPr>
                <w:rFonts w:ascii="宋体" w:hAnsi="宋体"/>
                <w:sz w:val="24"/>
              </w:rPr>
            </w:pPr>
            <w:r>
              <w:rPr>
                <w:rFonts w:hint="eastAsia" w:ascii="宋体" w:hAnsi="宋体"/>
                <w:sz w:val="24"/>
              </w:rPr>
              <w:t>四、拟解决的关键问题</w:t>
            </w:r>
          </w:p>
          <w:p w14:paraId="6B858384">
            <w:pPr>
              <w:pStyle w:val="8"/>
              <w:bidi w:val="0"/>
              <w:rPr>
                <w:rFonts w:hint="eastAsia"/>
              </w:rPr>
            </w:pPr>
            <w:r>
              <w:rPr>
                <w:rFonts w:hint="eastAsia"/>
              </w:rPr>
              <w:t>（1）多类型资料难以统一处理的问题。不同文件格式在文本结构、编码和图片内容上存在差异，需要设计分类抽取、OCR识别、人工校正和语义切片流程，保证进入知识库的文本质量。</w:t>
            </w:r>
          </w:p>
          <w:p w14:paraId="1338C129">
            <w:pPr>
              <w:pStyle w:val="8"/>
              <w:bidi w:val="0"/>
              <w:rPr>
                <w:rFonts w:hint="eastAsia"/>
              </w:rPr>
            </w:pPr>
            <w:r>
              <w:rPr>
                <w:rFonts w:hint="eastAsia"/>
              </w:rPr>
              <w:t>（2）用户提问与资料原文表述不一致的问题。单一关键词检索可能遗漏语义相关内容，单一向量检索又可能弱化专业术语匹配，需研究混合召回、RRF融合和候选重排方法。</w:t>
            </w:r>
          </w:p>
          <w:p w14:paraId="004513D4">
            <w:pPr>
              <w:pStyle w:val="8"/>
              <w:bidi w:val="0"/>
              <w:rPr>
                <w:rFonts w:hint="eastAsia"/>
              </w:rPr>
            </w:pPr>
            <w:r>
              <w:rPr>
                <w:rFonts w:hint="eastAsia"/>
              </w:rPr>
              <w:t>（3）生成式回答可信度不足的问题。需要限制模型优先依据检索片段回答，并保留文件名、页码或片段摘要等来源信息，便于学习者核验。</w:t>
            </w:r>
          </w:p>
          <w:p w14:paraId="16A7F5FE">
            <w:pPr>
              <w:pStyle w:val="8"/>
              <w:bidi w:val="0"/>
              <w:rPr>
                <w:rFonts w:hint="eastAsia"/>
              </w:rPr>
            </w:pPr>
            <w:r>
              <w:rPr>
                <w:rFonts w:hint="eastAsia"/>
              </w:rPr>
              <w:t>（4）个人学习数据稀疏条件下的画像构建问题。考研自学缺少标准化题库和大规模作答数据，需以知识片段为基本单元，利用问答反馈、错题练习和时间衰减构建轻量化、可解释的画像指标。</w:t>
            </w:r>
          </w:p>
          <w:p w14:paraId="14AE13F2">
            <w:pPr>
              <w:pStyle w:val="8"/>
              <w:bidi w:val="0"/>
            </w:pPr>
            <w:r>
              <w:rPr>
                <w:rFonts w:hint="eastAsia"/>
              </w:rPr>
              <w:t>（5）各功能模块数据难以形成闭环的问题。需明确资料、知识片段、问答事件、错题、画像和学习计划之间的数据关系，并设计外部检索或模型服务不可用时的降级策略。</w:t>
            </w:r>
          </w:p>
          <w:p w14:paraId="0693A352">
            <w:pPr>
              <w:spacing w:line="500" w:lineRule="exact"/>
              <w:rPr>
                <w:rFonts w:ascii="宋体" w:hAnsi="宋体"/>
                <w:sz w:val="24"/>
              </w:rPr>
            </w:pPr>
            <w:r>
              <w:rPr>
                <w:rFonts w:hint="eastAsia" w:ascii="宋体" w:hAnsi="宋体"/>
                <w:sz w:val="24"/>
              </w:rPr>
              <w:t>五、研究思路和方法</w:t>
            </w:r>
          </w:p>
          <w:p w14:paraId="7AAAC61D">
            <w:pPr>
              <w:pStyle w:val="8"/>
              <w:bidi w:val="0"/>
              <w:rPr>
                <w:rFonts w:hint="eastAsia"/>
              </w:rPr>
            </w:pPr>
            <w:r>
              <w:rPr>
                <w:rFonts w:hint="eastAsia"/>
              </w:rPr>
              <w:t>本课题拟按照“问题分析—需求建模—总体设计—模块实现—系统测试—总结改进”的思路开展。首先分析考研学习中资料分散、问答依据不清和复习反馈不足等问题，明确系统边界和核心数据对象；随后以知识片段作为连接资料内容与学习行为的中间载体，设计RAG问答和知识画像两条核心数据链路；最后通过原型迭代和测试验证各模块的可行性。</w:t>
            </w:r>
          </w:p>
          <w:p w14:paraId="0ECEB8D2">
            <w:pPr>
              <w:pStyle w:val="8"/>
              <w:bidi w:val="0"/>
              <w:rPr>
                <w:rFonts w:hint="eastAsia"/>
              </w:rPr>
            </w:pPr>
            <w:r>
              <w:rPr>
                <w:rFonts w:hint="eastAsia"/>
              </w:rPr>
              <w:t>（1）文献研究法。查阅个性化学习、教育知识图谱、学习分析、知识追踪、RAG、混合检索和大语言模型应用等文献，梳理研究现状并确定技术边界。</w:t>
            </w:r>
          </w:p>
          <w:p w14:paraId="5631AC9F">
            <w:pPr>
              <w:pStyle w:val="8"/>
              <w:bidi w:val="0"/>
              <w:rPr>
                <w:rFonts w:hint="eastAsia"/>
              </w:rPr>
            </w:pPr>
            <w:r>
              <w:rPr>
                <w:rFonts w:hint="eastAsia"/>
              </w:rPr>
              <w:t>（2）需求分析与建模法。通过场景分析、用例分析和业务流程建模，明确用户角色、功能需求、非功能需求以及资料、知识片段、错题和计划等实体关系。</w:t>
            </w:r>
          </w:p>
          <w:p w14:paraId="4EFC56C4">
            <w:pPr>
              <w:pStyle w:val="8"/>
              <w:bidi w:val="0"/>
              <w:rPr>
                <w:rFonts w:hint="eastAsia"/>
              </w:rPr>
            </w:pPr>
            <w:r>
              <w:rPr>
                <w:rFonts w:hint="eastAsia"/>
              </w:rPr>
              <w:t>（3）系统设计与原型迭代法。拟采用Spring Boot构建后端服务，Vue 3构建前端界面，MySQL存储业务数据，Elasticsearch提供全文和向量检索；按照模块逐步实现并通过联调持续修正设计。</w:t>
            </w:r>
          </w:p>
          <w:p w14:paraId="51413C7C">
            <w:pPr>
              <w:pStyle w:val="8"/>
              <w:bidi w:val="0"/>
              <w:rPr>
                <w:rFonts w:ascii="宋体" w:hAnsi="宋体"/>
              </w:rPr>
            </w:pPr>
            <w:r>
              <w:rPr>
                <w:rFonts w:hint="eastAsia"/>
              </w:rPr>
              <w:t>（4）对比与实验验证法。针对关键词检索、向量检索和混合检索设计典型问题集，比较召回结果；针对资料处理、来源引用、画像更新、错题回写和计划生成设计功能测试与异常场景测试。</w:t>
            </w:r>
          </w:p>
        </w:tc>
      </w:tr>
      <w:tr w14:paraId="7D683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3" w:hRule="atLeast"/>
        </w:trPr>
        <w:tc>
          <w:tcPr>
            <w:tcW w:w="8603" w:type="dxa"/>
          </w:tcPr>
          <w:p w14:paraId="5B2114BD">
            <w:pPr>
              <w:spacing w:line="500" w:lineRule="exact"/>
              <w:rPr>
                <w:rFonts w:ascii="宋体" w:hAnsi="宋体"/>
                <w:sz w:val="24"/>
              </w:rPr>
            </w:pPr>
            <w:r>
              <w:rPr>
                <w:rFonts w:hint="eastAsia" w:ascii="宋体" w:hAnsi="宋体"/>
                <w:sz w:val="24"/>
              </w:rPr>
              <w:t>六、本课题的进度安排</w:t>
            </w:r>
          </w:p>
          <w:p w14:paraId="1606229B">
            <w:pPr>
              <w:pStyle w:val="8"/>
              <w:bidi w:val="0"/>
              <w:rPr>
                <w:rFonts w:hint="eastAsia"/>
              </w:rPr>
            </w:pPr>
            <w:r>
              <w:rPr>
                <w:rFonts w:hint="eastAsia"/>
              </w:rPr>
              <w:t>第一阶段（4.13—4.26，2周）：系统完善与联调测试</w:t>
            </w:r>
          </w:p>
          <w:p w14:paraId="70E69DF9">
            <w:pPr>
              <w:pStyle w:val="8"/>
              <w:bidi w:val="0"/>
              <w:rPr>
                <w:rFonts w:hint="eastAsia"/>
              </w:rPr>
            </w:pPr>
            <w:r>
              <w:rPr>
                <w:rFonts w:hint="eastAsia"/>
              </w:rPr>
              <w:t>完成AI对话模块与业务系统接口联调，实现RAG检索流程端到端验证，修复核心功能缺陷，编写单元测试与集成测试用例。交付可运行的系统原型及测试文档。</w:t>
            </w:r>
          </w:p>
          <w:p w14:paraId="345F3A09">
            <w:pPr>
              <w:pStyle w:val="8"/>
              <w:bidi w:val="0"/>
              <w:rPr>
                <w:rFonts w:hint="eastAsia"/>
              </w:rPr>
            </w:pPr>
            <w:r>
              <w:rPr>
                <w:rFonts w:hint="eastAsia"/>
              </w:rPr>
              <w:t>第二阶段（4.27—5.11，2周）：手册编写与论文初稿</w:t>
            </w:r>
          </w:p>
          <w:p w14:paraId="33305792">
            <w:pPr>
              <w:pStyle w:val="8"/>
              <w:bidi w:val="0"/>
              <w:rPr>
                <w:rFonts w:hint="eastAsia"/>
              </w:rPr>
            </w:pPr>
            <w:r>
              <w:rPr>
                <w:rFonts w:hint="eastAsia"/>
              </w:rPr>
              <w:t>完成系统部署手册、用户操作指南，撰写毕业设计论文初稿（涵盖绪论至系统实现章节），整理系统设计图、流程图、数据库ER图等插图素材。</w:t>
            </w:r>
          </w:p>
          <w:p w14:paraId="65AE383B">
            <w:pPr>
              <w:pStyle w:val="8"/>
              <w:bidi w:val="0"/>
              <w:rPr>
                <w:rFonts w:hint="eastAsia"/>
              </w:rPr>
            </w:pPr>
            <w:r>
              <w:rPr>
                <w:rFonts w:hint="eastAsia"/>
              </w:rPr>
              <w:t>第三阶段（5.12—5.18，1周）：论文完善与教师评阅</w:t>
            </w:r>
          </w:p>
          <w:p w14:paraId="09BC348E">
            <w:pPr>
              <w:pStyle w:val="8"/>
              <w:bidi w:val="0"/>
              <w:rPr>
                <w:rFonts w:hint="eastAsia"/>
              </w:rPr>
            </w:pPr>
            <w:r>
              <w:rPr>
                <w:rFonts w:hint="eastAsia"/>
              </w:rPr>
              <w:t>根据指导教师意见修改论文，补充系统测试章节与性能评估数据，完善摘要、结论与参考文献格式。</w:t>
            </w:r>
          </w:p>
          <w:p w14:paraId="71D459E6">
            <w:pPr>
              <w:pStyle w:val="8"/>
              <w:bidi w:val="0"/>
              <w:rPr>
                <w:rFonts w:hint="eastAsia"/>
              </w:rPr>
            </w:pPr>
            <w:r>
              <w:rPr>
                <w:rFonts w:hint="eastAsia"/>
              </w:rPr>
              <w:t>第四阶段（5.19—5.30，1.5周）：系统优化与答辩准备</w:t>
            </w:r>
          </w:p>
          <w:p w14:paraId="2DA07F89">
            <w:pPr>
              <w:pStyle w:val="8"/>
              <w:bidi w:val="0"/>
              <w:rPr>
                <w:rFonts w:hint="eastAsia"/>
              </w:rPr>
            </w:pPr>
            <w:r>
              <w:rPr>
                <w:rFonts w:hint="eastAsia"/>
              </w:rPr>
              <w:t>针对评阅意见优化系统功能，制作答辩PPT，准备系统演示环境，进行模拟答辩演练。</w:t>
            </w:r>
          </w:p>
          <w:p w14:paraId="3966C42A">
            <w:pPr>
              <w:pStyle w:val="8"/>
              <w:bidi w:val="0"/>
              <w:rPr>
                <w:rFonts w:hint="eastAsia"/>
              </w:rPr>
            </w:pPr>
            <w:r>
              <w:rPr>
                <w:rFonts w:hint="eastAsia"/>
              </w:rPr>
              <w:t>第五阶段（5.31—6.6，1周）：查重检测与最终修改</w:t>
            </w:r>
          </w:p>
          <w:p w14:paraId="7E40569E">
            <w:pPr>
              <w:pStyle w:val="8"/>
              <w:bidi w:val="0"/>
              <w:rPr>
                <w:rFonts w:hint="eastAsia"/>
              </w:rPr>
            </w:pPr>
            <w:r>
              <w:rPr>
                <w:rFonts w:hint="eastAsia"/>
              </w:rPr>
              <w:t>提交论文查重并根据结果调整，完成格式审查与最终排版，准备答辩材料。</w:t>
            </w:r>
          </w:p>
          <w:p w14:paraId="5D322D00">
            <w:pPr>
              <w:pStyle w:val="8"/>
              <w:bidi w:val="0"/>
              <w:rPr>
                <w:rFonts w:hint="eastAsia"/>
              </w:rPr>
            </w:pPr>
            <w:r>
              <w:rPr>
                <w:rFonts w:hint="eastAsia"/>
              </w:rPr>
              <w:t>第六阶段（6.7—6.11，0.5周）：毕业答辩与材料归档</w:t>
            </w:r>
          </w:p>
          <w:p w14:paraId="7DCEB0F9">
            <w:pPr>
              <w:pStyle w:val="8"/>
              <w:bidi w:val="0"/>
              <w:rPr>
                <w:rFonts w:ascii="宋体" w:hAnsi="宋体"/>
              </w:rPr>
            </w:pPr>
            <w:r>
              <w:rPr>
                <w:rFonts w:hint="eastAsia"/>
              </w:rPr>
              <w:t>参加毕业设计答辩，根据委员会意见修改论文，提交最终版论文及电子档案。</w:t>
            </w:r>
          </w:p>
        </w:tc>
      </w:tr>
      <w:tr w14:paraId="1CD25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03" w:type="dxa"/>
          </w:tcPr>
          <w:p w14:paraId="2365C67E">
            <w:pPr>
              <w:spacing w:line="500" w:lineRule="exact"/>
              <w:rPr>
                <w:rFonts w:ascii="宋体" w:hAnsi="宋体"/>
                <w:sz w:val="24"/>
              </w:rPr>
            </w:pPr>
            <w:r>
              <w:rPr>
                <w:rFonts w:hint="eastAsia" w:ascii="宋体" w:hAnsi="宋体"/>
                <w:sz w:val="24"/>
              </w:rPr>
              <w:t>七、参考文献</w:t>
            </w:r>
          </w:p>
          <w:p w14:paraId="50124627">
            <w:pPr>
              <w:spacing w:line="500" w:lineRule="exact"/>
              <w:rPr>
                <w:rFonts w:hint="eastAsia" w:ascii="宋体" w:hAnsi="宋体"/>
              </w:rPr>
            </w:pPr>
            <w:r>
              <w:rPr>
                <w:rFonts w:hint="eastAsia" w:ascii="宋体" w:hAnsi="宋体"/>
              </w:rPr>
              <w:t>[1] 车璐,张志强,周金佳,等.生成式人工智能的研究现状和发展趋势[J].科技导报,2024,42(12):35-43.</w:t>
            </w:r>
          </w:p>
          <w:p w14:paraId="3603BEE5">
            <w:pPr>
              <w:spacing w:line="500" w:lineRule="exact"/>
              <w:rPr>
                <w:rFonts w:hint="eastAsia" w:ascii="宋体" w:hAnsi="宋体"/>
              </w:rPr>
            </w:pPr>
            <w:r>
              <w:rPr>
                <w:rFonts w:hint="eastAsia" w:ascii="宋体" w:hAnsi="宋体"/>
              </w:rPr>
              <w:t>[2] 刘邦奇,聂小林,王士进,等.生成式人工智能与未来教育形态重塑：技术框架、能力特征及应用趋势[J].电化教育研究,2024,45(1):13-20.DOI:10.13811/j.cnki.eer.2024.01.002.</w:t>
            </w:r>
          </w:p>
          <w:p w14:paraId="23E352AB">
            <w:pPr>
              <w:spacing w:line="500" w:lineRule="exact"/>
              <w:rPr>
                <w:rFonts w:hint="eastAsia" w:ascii="宋体" w:hAnsi="宋体"/>
              </w:rPr>
            </w:pPr>
            <w:r>
              <w:rPr>
                <w:rFonts w:hint="eastAsia" w:ascii="宋体" w:hAnsi="宋体"/>
              </w:rPr>
              <w:t>[3] LEWIS P, PEREZ E, PIKTUS A, et al. Retrieval-augmented generation for knowledge-intensive NLP tasks[C]//Advances in Neural Information Processing Systems 33. 2020: 9459-9474.</w:t>
            </w:r>
          </w:p>
          <w:p w14:paraId="1C66AC50">
            <w:pPr>
              <w:spacing w:line="500" w:lineRule="exact"/>
              <w:rPr>
                <w:rFonts w:hint="eastAsia" w:ascii="宋体" w:hAnsi="宋体"/>
              </w:rPr>
            </w:pPr>
            <w:r>
              <w:rPr>
                <w:rFonts w:hint="eastAsia" w:ascii="宋体" w:hAnsi="宋体"/>
              </w:rPr>
              <w:t>[4] ALFREDO R, ECHEVERRIA V, JIN Y, et al. Human-centred learning analytics and AI in education: A systematic literature review[J]. Computers and Education: Artificial Intelligence, 2024: 100215. DOI:</w:t>
            </w:r>
          </w:p>
          <w:p w14:paraId="6BD9BECA">
            <w:pPr>
              <w:spacing w:line="500" w:lineRule="exact"/>
              <w:rPr>
                <w:rFonts w:hint="eastAsia" w:ascii="宋体" w:hAnsi="宋体"/>
              </w:rPr>
            </w:pPr>
            <w:r>
              <w:rPr>
                <w:rFonts w:hint="eastAsia" w:ascii="宋体" w:hAnsi="宋体"/>
              </w:rPr>
              <w:t>[5] 王士进, 吴金泽, 张浩天, 等. 可信的端到端深度学生知识画像建模方法[J]. 计算机研究与发展, 2023, 60(8): 1822-1833.</w:t>
            </w:r>
          </w:p>
          <w:p w14:paraId="73842389">
            <w:pPr>
              <w:spacing w:line="500" w:lineRule="exact"/>
              <w:rPr>
                <w:rFonts w:hint="eastAsia" w:ascii="宋体" w:hAnsi="宋体"/>
              </w:rPr>
            </w:pPr>
            <w:r>
              <w:rPr>
                <w:rFonts w:hint="eastAsia" w:ascii="宋体" w:hAnsi="宋体"/>
              </w:rPr>
              <w:t>[6] 云岳, 代欢, 张育培, 等. 个性化学习路径推荐综述[J]. 软件学报, 2022, 33(12): 4590-4615.</w:t>
            </w:r>
          </w:p>
          <w:p w14:paraId="57D26460">
            <w:pPr>
              <w:spacing w:line="500" w:lineRule="exact"/>
              <w:rPr>
                <w:rFonts w:hint="eastAsia" w:ascii="宋体" w:hAnsi="宋体"/>
              </w:rPr>
            </w:pPr>
            <w:r>
              <w:rPr>
                <w:rFonts w:hint="eastAsia" w:ascii="宋体" w:hAnsi="宋体"/>
              </w:rPr>
              <w:t>[7] NABIZADEH A H, GONCALVES D, GAMA S, et al. Learning path personalization and recommendation methods: a survey of the state-of-the-art[J]. Expert Systems with Applications, 2020, 159: 113596.</w:t>
            </w:r>
          </w:p>
          <w:p w14:paraId="54BAC809">
            <w:pPr>
              <w:spacing w:line="500" w:lineRule="exact"/>
              <w:rPr>
                <w:rFonts w:hint="eastAsia" w:ascii="宋体" w:hAnsi="宋体"/>
              </w:rPr>
            </w:pPr>
            <w:r>
              <w:rPr>
                <w:rFonts w:hint="eastAsia" w:ascii="宋体" w:hAnsi="宋体"/>
              </w:rPr>
              <w:t>[8] 文森, 钱力, 胡懋地, 等. 基于大语言模型的问答技术研究进展综述[J]. 数据分析与知识发现, 2024, 8(6): 16-29.</w:t>
            </w:r>
          </w:p>
          <w:p w14:paraId="7A94E698">
            <w:pPr>
              <w:spacing w:line="500" w:lineRule="exact"/>
              <w:rPr>
                <w:rFonts w:hint="eastAsia" w:ascii="宋体" w:hAnsi="宋体"/>
              </w:rPr>
            </w:pPr>
            <w:r>
              <w:rPr>
                <w:rFonts w:hint="eastAsia" w:ascii="宋体" w:hAnsi="宋体"/>
              </w:rPr>
              <w:t>[9] 刘雪颖, 云静, 李博, 等. 基于大型语言模型的检索增强生成综述[J]. 计算机工程与应用, 2025, 61(13): 1-25.</w:t>
            </w:r>
          </w:p>
          <w:p w14:paraId="1F699EEC">
            <w:pPr>
              <w:spacing w:line="500" w:lineRule="exact"/>
              <w:rPr>
                <w:rFonts w:hint="eastAsia" w:ascii="宋体" w:hAnsi="宋体"/>
              </w:rPr>
            </w:pPr>
            <w:r>
              <w:rPr>
                <w:rFonts w:hint="eastAsia" w:ascii="宋体" w:hAnsi="宋体"/>
              </w:rPr>
              <w:t>[10] SWACHA J, GRACEL M. Retrieval-Augmented Generation (RAG) chatbots for education: a survey of applications[J]. Applied Sciences, 2025, 15(8): 4234.</w:t>
            </w:r>
          </w:p>
          <w:p w14:paraId="67444CD0">
            <w:pPr>
              <w:spacing w:line="500" w:lineRule="exact"/>
              <w:rPr>
                <w:rFonts w:hint="eastAsia" w:ascii="宋体" w:hAnsi="宋体"/>
              </w:rPr>
            </w:pPr>
            <w:r>
              <w:rPr>
                <w:rFonts w:hint="eastAsia" w:ascii="宋体" w:hAnsi="宋体"/>
              </w:rPr>
              <w:t>[11] 李惠乾, 钟柏昌. 教育知识图谱: 研究进展与未来发展--基于2013-2023年中文核心期刊载文的分析[J]. 计算机工程, 2024, 50(7): 1-12.</w:t>
            </w:r>
          </w:p>
          <w:p w14:paraId="4FE72AF2">
            <w:pPr>
              <w:spacing w:line="500" w:lineRule="exact"/>
              <w:rPr>
                <w:rFonts w:hint="eastAsia" w:ascii="宋体" w:hAnsi="宋体"/>
              </w:rPr>
            </w:pPr>
            <w:r>
              <w:rPr>
                <w:rFonts w:hint="eastAsia" w:ascii="宋体" w:hAnsi="宋体"/>
              </w:rPr>
              <w:t>[12] ALAMRI H A, WATSON S, WATSON W. A systematic review of the role of learning analytics in supporting personalized learning[J]. Education Sciences, 2024, 14(1): 51.</w:t>
            </w:r>
          </w:p>
          <w:p w14:paraId="716221FA">
            <w:pPr>
              <w:spacing w:line="500" w:lineRule="exact"/>
              <w:rPr>
                <w:rFonts w:hint="eastAsia" w:ascii="宋体" w:hAnsi="宋体"/>
              </w:rPr>
            </w:pPr>
            <w:r>
              <w:rPr>
                <w:rFonts w:hint="eastAsia" w:ascii="宋体" w:hAnsi="宋体"/>
              </w:rPr>
              <w:t>[13] PIECH C, BASSEN J, HUANG J, et al. Deep knowledge tracing[C]//Advances in Neural Information Processing Systems 28. 2015.</w:t>
            </w:r>
          </w:p>
          <w:p w14:paraId="6E329AA5">
            <w:pPr>
              <w:spacing w:line="500" w:lineRule="exact"/>
              <w:rPr>
                <w:rFonts w:hint="eastAsia" w:ascii="宋体" w:hAnsi="宋体"/>
              </w:rPr>
            </w:pPr>
            <w:r>
              <w:rPr>
                <w:rFonts w:hint="eastAsia" w:ascii="宋体" w:hAnsi="宋体"/>
              </w:rPr>
              <w:t>[14] 刘铁园, 陈威, 常亮, 等. 基于深度学习的知识追踪研究进展[J]. 计算机研究与发展, 2022, 59(1): 81-104.</w:t>
            </w:r>
          </w:p>
          <w:p w14:paraId="79FB3A7F">
            <w:pPr>
              <w:spacing w:line="500" w:lineRule="exact"/>
              <w:rPr>
                <w:rFonts w:hint="eastAsia" w:ascii="宋体" w:hAnsi="宋体"/>
              </w:rPr>
            </w:pPr>
            <w:r>
              <w:rPr>
                <w:rFonts w:hint="eastAsia" w:ascii="宋体" w:hAnsi="宋体"/>
              </w:rPr>
              <w:t>[15] XIA J, LI G, CAO Z. Personalized exercise recommendation algorithm combining learning objective and assignment feedback[J]. Journal of Intelligent &amp; Fuzzy Systems, 2018, 35(3): 2965-2973. DOI: 10.3233/JIFS-169652.</w:t>
            </w:r>
          </w:p>
          <w:p w14:paraId="76334412">
            <w:pPr>
              <w:spacing w:line="500" w:lineRule="exact"/>
              <w:rPr>
                <w:rFonts w:hint="eastAsia" w:ascii="宋体" w:hAnsi="宋体"/>
              </w:rPr>
            </w:pPr>
            <w:r>
              <w:rPr>
                <w:rFonts w:hint="eastAsia" w:ascii="宋体" w:hAnsi="宋体"/>
              </w:rPr>
              <w:t>[16] CORMACK G V, CLARKE C L A, BÜTTCHER S. Reciprocal rank fusion outperforms Condorcet and individual rank learning methods[C]//Proceedings of the 32nd International ACM SIGIR Conference. New York: ACM, 2009: 758-759. DOI: 10.1145/1571941.1572114.</w:t>
            </w:r>
          </w:p>
          <w:p w14:paraId="52521E4E">
            <w:pPr>
              <w:spacing w:line="500" w:lineRule="exact"/>
              <w:rPr>
                <w:rFonts w:hint="eastAsia" w:ascii="宋体" w:hAnsi="宋体"/>
              </w:rPr>
            </w:pPr>
            <w:r>
              <w:rPr>
                <w:rFonts w:hint="eastAsia" w:ascii="宋体" w:hAnsi="宋体"/>
              </w:rPr>
              <w:t>[17] BRUCH S, GAI S, INGBER A. An analysis of fusion functions for hybrid retrieval[EB/OL]. arXiv, 2022. https://arxiv.org/abs/2210.11934.</w:t>
            </w:r>
          </w:p>
          <w:p w14:paraId="2102258C">
            <w:pPr>
              <w:spacing w:line="500" w:lineRule="exact"/>
              <w:rPr>
                <w:rFonts w:hint="eastAsia" w:ascii="宋体" w:hAnsi="宋体"/>
              </w:rPr>
            </w:pPr>
            <w:r>
              <w:rPr>
                <w:rFonts w:hint="eastAsia" w:ascii="宋体" w:hAnsi="宋体"/>
              </w:rPr>
              <w:t>[18] LI L, WANG Z. Knowledge Graph Enhanced Intelligent Tutoring System Based on Exercise Representativeness and Informativeness[EB/OL]. arXiv, 2023.</w:t>
            </w:r>
          </w:p>
          <w:p w14:paraId="252E9D8A">
            <w:pPr>
              <w:spacing w:line="500" w:lineRule="exact"/>
              <w:rPr>
                <w:rFonts w:hint="eastAsia" w:ascii="宋体" w:hAnsi="宋体"/>
              </w:rPr>
            </w:pPr>
            <w:r>
              <w:rPr>
                <w:rFonts w:hint="eastAsia" w:ascii="宋体" w:hAnsi="宋体"/>
              </w:rPr>
              <w:t>[19] XIA J, LI G, CAO Z. Personalized exercise recommendation algorithm combining learning objective and assignment feedback[J]. Journal of Intelligent &amp; Fuzzy Systems, 2018, 35(3): 2965-2973. DOI: 10.3233/JIFS-169652.</w:t>
            </w:r>
          </w:p>
          <w:p w14:paraId="65AE5DF9">
            <w:pPr>
              <w:spacing w:line="500" w:lineRule="exact"/>
              <w:rPr>
                <w:rFonts w:hint="eastAsia" w:ascii="宋体" w:hAnsi="宋体"/>
              </w:rPr>
            </w:pPr>
            <w:r>
              <w:rPr>
                <w:rFonts w:hint="eastAsia" w:ascii="宋体" w:hAnsi="宋体"/>
              </w:rPr>
              <w:t>[20] LI L, CHU W, LANGFORD J, et al. A contextual-bandit approach to personalized news article recommendation[C]//Proceedings of WWW '10. 2010: 661-670. DOI: 10.1145/1772690.1772758.</w:t>
            </w:r>
          </w:p>
          <w:p w14:paraId="6E027E04">
            <w:pPr>
              <w:spacing w:line="500" w:lineRule="exact"/>
              <w:rPr>
                <w:rFonts w:hint="eastAsia" w:ascii="宋体" w:hAnsi="宋体"/>
              </w:rPr>
            </w:pPr>
            <w:r>
              <w:rPr>
                <w:rFonts w:hint="eastAsia" w:ascii="宋体" w:hAnsi="宋体"/>
              </w:rPr>
              <w:t>[21] ABDELRAHMAN G, WANG Q, NUNES B P. Knowledge tracing: A survey[J]. ACM Computing Surveys, 2023, 55(11): 1-37. DOI: 10.1145/3569576.</w:t>
            </w:r>
          </w:p>
          <w:p w14:paraId="3F7FF802">
            <w:pPr>
              <w:spacing w:line="500" w:lineRule="exact"/>
              <w:rPr>
                <w:rFonts w:hint="eastAsia" w:ascii="宋体" w:hAnsi="宋体"/>
              </w:rPr>
            </w:pPr>
            <w:r>
              <w:rPr>
                <w:rFonts w:hint="eastAsia" w:ascii="宋体" w:hAnsi="宋体"/>
              </w:rPr>
              <w:t>[22] HOFF P D. A First Course in Bayesian Statistical Methods[M]. New York: Springer, 2009.</w:t>
            </w:r>
          </w:p>
          <w:p w14:paraId="4EC0F48A">
            <w:pPr>
              <w:spacing w:line="500" w:lineRule="exact"/>
              <w:rPr>
                <w:rFonts w:ascii="宋体" w:hAnsi="宋体"/>
              </w:rPr>
            </w:pPr>
            <w:r>
              <w:rPr>
                <w:rFonts w:hint="eastAsia" w:ascii="宋体" w:hAnsi="宋体"/>
              </w:rPr>
              <w:t xml:space="preserve">[23] CARPENTER S K, PAN S C, BUTLER A C. The science of effective learning with spacing and retrieval practice[J]. Nature Reviews Psychology, 2022, 1: 496-511. </w:t>
            </w:r>
          </w:p>
          <w:p w14:paraId="3DF3E969">
            <w:pPr>
              <w:spacing w:line="500" w:lineRule="exact"/>
              <w:rPr>
                <w:rFonts w:ascii="宋体" w:hAnsi="宋体"/>
              </w:rPr>
            </w:pPr>
            <w:r>
              <w:rPr>
                <w:rFonts w:hint="eastAsia" w:ascii="宋体" w:hAnsi="宋体"/>
              </w:rPr>
              <w:t>八、指导教师意见</w:t>
            </w:r>
            <w:bookmarkStart w:id="0" w:name="_GoBack"/>
            <w:bookmarkEnd w:id="0"/>
          </w:p>
          <w:p w14:paraId="514E42DA">
            <w:pPr>
              <w:spacing w:line="500" w:lineRule="exact"/>
              <w:rPr>
                <w:rFonts w:ascii="宋体" w:hAnsi="宋体"/>
              </w:rPr>
            </w:pPr>
          </w:p>
          <w:p w14:paraId="426779A4">
            <w:pPr>
              <w:spacing w:line="500" w:lineRule="exact"/>
              <w:rPr>
                <w:rFonts w:ascii="宋体" w:hAnsi="宋体"/>
              </w:rPr>
            </w:pPr>
          </w:p>
          <w:p w14:paraId="16B25741">
            <w:pPr>
              <w:spacing w:line="500" w:lineRule="exact"/>
              <w:rPr>
                <w:rFonts w:ascii="宋体" w:hAnsi="宋体"/>
              </w:rPr>
            </w:pPr>
          </w:p>
          <w:p w14:paraId="52CA27D0">
            <w:pPr>
              <w:spacing w:line="500" w:lineRule="exact"/>
              <w:ind w:firstLine="5460" w:firstLineChars="2600"/>
              <w:rPr>
                <w:rFonts w:ascii="宋体" w:hAnsi="宋体"/>
              </w:rPr>
            </w:pPr>
            <w:r>
              <w:rPr>
                <w:rFonts w:hint="eastAsia" w:ascii="宋体" w:hAnsi="宋体"/>
              </w:rPr>
              <w:t>签名</w:t>
            </w:r>
          </w:p>
          <w:p w14:paraId="3066302E">
            <w:pPr>
              <w:spacing w:line="500" w:lineRule="exact"/>
              <w:ind w:firstLine="5460" w:firstLineChars="2600"/>
              <w:rPr>
                <w:rFonts w:ascii="宋体" w:hAnsi="宋体"/>
              </w:rPr>
            </w:pPr>
            <w:r>
              <w:rPr>
                <w:rFonts w:hint="eastAsia" w:ascii="宋体" w:hAnsi="宋体"/>
              </w:rPr>
              <w:t>年        月        日</w:t>
            </w:r>
          </w:p>
          <w:p w14:paraId="5B53117A">
            <w:pPr>
              <w:spacing w:line="500" w:lineRule="exact"/>
              <w:rPr>
                <w:rFonts w:ascii="宋体" w:hAnsi="宋体"/>
              </w:rPr>
            </w:pPr>
          </w:p>
        </w:tc>
      </w:tr>
      <w:tr w14:paraId="59180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03" w:type="dxa"/>
          </w:tcPr>
          <w:p w14:paraId="4CFCB501">
            <w:pPr>
              <w:spacing w:line="500" w:lineRule="exact"/>
              <w:rPr>
                <w:rFonts w:ascii="宋体" w:hAnsi="宋体"/>
              </w:rPr>
            </w:pPr>
            <w:r>
              <w:rPr>
                <w:rFonts w:hint="eastAsia" w:ascii="宋体" w:hAnsi="宋体"/>
              </w:rPr>
              <w:t>九、学院审核意见</w:t>
            </w:r>
          </w:p>
          <w:p w14:paraId="15B8BDAF">
            <w:pPr>
              <w:spacing w:line="500" w:lineRule="exact"/>
              <w:rPr>
                <w:rFonts w:ascii="宋体" w:hAnsi="宋体"/>
              </w:rPr>
            </w:pPr>
          </w:p>
          <w:p w14:paraId="6B519FA3">
            <w:pPr>
              <w:spacing w:line="500" w:lineRule="exact"/>
              <w:rPr>
                <w:rFonts w:ascii="宋体" w:hAnsi="宋体"/>
              </w:rPr>
            </w:pPr>
          </w:p>
          <w:p w14:paraId="356631D7">
            <w:pPr>
              <w:spacing w:line="500" w:lineRule="exact"/>
              <w:rPr>
                <w:rFonts w:ascii="宋体" w:hAnsi="宋体"/>
              </w:rPr>
            </w:pPr>
          </w:p>
          <w:p w14:paraId="6BE517A9">
            <w:pPr>
              <w:spacing w:line="500" w:lineRule="exact"/>
              <w:rPr>
                <w:rFonts w:ascii="宋体" w:hAnsi="宋体"/>
              </w:rPr>
            </w:pPr>
            <w:r>
              <w:rPr>
                <w:rFonts w:hint="eastAsia" w:ascii="宋体" w:hAnsi="宋体"/>
              </w:rPr>
              <w:t xml:space="preserve"> </w:t>
            </w:r>
            <w:r>
              <w:rPr>
                <w:rFonts w:ascii="宋体" w:hAnsi="宋体"/>
              </w:rPr>
              <w:t xml:space="preserve">                                               </w:t>
            </w:r>
            <w:r>
              <w:rPr>
                <w:rFonts w:hint="eastAsia" w:ascii="宋体" w:hAnsi="宋体"/>
              </w:rPr>
              <w:t>教研室主任签名：</w:t>
            </w:r>
          </w:p>
          <w:p w14:paraId="1AE42B8D">
            <w:pPr>
              <w:spacing w:line="500" w:lineRule="exact"/>
              <w:ind w:firstLine="5040" w:firstLineChars="2400"/>
              <w:rPr>
                <w:rFonts w:ascii="宋体" w:hAnsi="宋体"/>
              </w:rPr>
            </w:pPr>
            <w:r>
              <w:rPr>
                <w:rFonts w:hint="eastAsia" w:ascii="宋体" w:hAnsi="宋体"/>
              </w:rPr>
              <w:t>教学院长签名：</w:t>
            </w:r>
          </w:p>
          <w:p w14:paraId="3E678D53">
            <w:pPr>
              <w:spacing w:line="500" w:lineRule="exact"/>
              <w:ind w:firstLine="5460" w:firstLineChars="2600"/>
              <w:rPr>
                <w:rFonts w:ascii="宋体" w:hAnsi="宋体"/>
              </w:rPr>
            </w:pPr>
            <w:r>
              <w:rPr>
                <w:rFonts w:hint="eastAsia" w:ascii="宋体" w:hAnsi="宋体"/>
              </w:rPr>
              <w:t>年        月        日</w:t>
            </w:r>
          </w:p>
          <w:p w14:paraId="25A57F79">
            <w:pPr>
              <w:spacing w:line="500" w:lineRule="exact"/>
              <w:rPr>
                <w:rFonts w:ascii="宋体" w:hAnsi="宋体"/>
              </w:rPr>
            </w:pPr>
          </w:p>
        </w:tc>
      </w:tr>
    </w:tbl>
    <w:p w14:paraId="09127B72"/>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2034"/>
    <w:rsid w:val="000D7873"/>
    <w:rsid w:val="00196528"/>
    <w:rsid w:val="00211984"/>
    <w:rsid w:val="00274E21"/>
    <w:rsid w:val="002A6E8E"/>
    <w:rsid w:val="002C5041"/>
    <w:rsid w:val="002D5081"/>
    <w:rsid w:val="005042F2"/>
    <w:rsid w:val="00505F37"/>
    <w:rsid w:val="00574117"/>
    <w:rsid w:val="00687E25"/>
    <w:rsid w:val="00696EF3"/>
    <w:rsid w:val="007173E2"/>
    <w:rsid w:val="0074154E"/>
    <w:rsid w:val="007E03DE"/>
    <w:rsid w:val="007E6714"/>
    <w:rsid w:val="00832F52"/>
    <w:rsid w:val="009C18C0"/>
    <w:rsid w:val="00C8429D"/>
    <w:rsid w:val="00D72034"/>
    <w:rsid w:val="2E5038DC"/>
    <w:rsid w:val="5F2576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uiPriority w:val="99"/>
    <w:rPr>
      <w:rFonts w:ascii="Times New Roman" w:hAnsi="Times New Roman" w:eastAsia="宋体" w:cs="Times New Roman"/>
      <w:sz w:val="18"/>
      <w:szCs w:val="18"/>
    </w:rPr>
  </w:style>
  <w:style w:type="character" w:customStyle="1" w:styleId="7">
    <w:name w:val="页脚 字符"/>
    <w:basedOn w:val="5"/>
    <w:link w:val="2"/>
    <w:uiPriority w:val="99"/>
    <w:rPr>
      <w:rFonts w:ascii="Times New Roman" w:hAnsi="Times New Roman" w:eastAsia="宋体" w:cs="Times New Roman"/>
      <w:sz w:val="18"/>
      <w:szCs w:val="18"/>
    </w:rPr>
  </w:style>
  <w:style w:type="paragraph" w:customStyle="1" w:styleId="8">
    <w:name w:val="表格内正文"/>
    <w:basedOn w:val="1"/>
    <w:uiPriority w:val="0"/>
    <w:pPr>
      <w:ind w:firstLine="720" w:firstLineChars="200"/>
    </w:pPr>
    <w:rPr>
      <w:rFonts w:hint="default" w:ascii="Times New Roman" w:hAnsi="Times New Roman"/>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 </Company>
  <Pages>7</Pages>
  <Words>174</Words>
  <Characters>174</Characters>
  <Lines>4</Lines>
  <Paragraphs>1</Paragraphs>
  <TotalTime>443</TotalTime>
  <ScaleCrop>false</ScaleCrop>
  <LinksUpToDate>false</LinksUpToDate>
  <CharactersWithSpaces>452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2024-01-16T09:06:00Z</dcterms:created>
  <dc:creator>xd</dc:creator>
  <cp:lastModifiedBy>媣</cp:lastModifiedBy>
  <dcterms:modified xsi:type="dcterms:W3CDTF">2026-06-11T15:33:38Z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eyJoZGlkIjoiNzQwNjJjMWViYmI3YjhmM2IxYTY3YzFmZDFlOTFmMWQiLCJ1c2VySWQiOiI0NjE5MDQ5NjcifQ==</vt:lpwstr>
  </property>
  <property fmtid="{D5CDD505-2E9C-101B-9397-08002B2CF9AE}" pid="4" name="ICV">
    <vt:lpwstr>DAF8E1295B5744FCB45176ED2EA429FF_12</vt:lpwstr>
  </property>
</Properties>
</file>