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代理营业厅经营中台</w:t>
      </w:r>
    </w:p>
    <w:p>
      <w:pPr>
        <w:pStyle w:val="Subtitle"/>
      </w:pPr>
      <w:r>
        <w:t>技术施工报告  第一阶段独立交付与后续扩展</w:t>
      </w:r>
    </w:p>
    <w:p>
      <w:r>
        <w:rPr>
          <w:b w:val="0"/>
          <w:sz w:val="18"/>
        </w:rPr>
        <w:t>版本 V1.0    编制日期 2026年10月2日    状态 拟实施技术基线</w:t>
      </w:r>
    </w:p>
    <w:p>
      <w:pPr>
        <w:pStyle w:val="Heading1"/>
      </w:pPr>
      <w:r>
        <w:t>1 施工目标与设计基线</w:t>
      </w:r>
    </w:p>
    <w:p>
      <w:r>
        <w:rPr>
          <w:b w:val="0"/>
        </w:rPr>
        <w:t>本报告把第一阶段“营业厅 AI 服务与质检工作台”转化为可拆分、可开发、可验收的施工方案。第一阶段独立运行；第二阶段补齐门店经营主体；第三阶段完成异常、结算与跨模块联动。三阶段沿用同一仓库、同一套核心标识和数据库迁移历史。</w:t>
      </w:r>
    </w:p>
    <w:p>
      <w:r>
        <w:rPr>
          <w:b w:val="0"/>
        </w:rPr>
        <w:t>文档性质为拟实施技术基线 V1.0。仓库当前已有项目规划书，尚无业务应用代码；以下目录、数据表、接口、命令和验收要求均为施工约定，不表示已实现、已联调或已通过测试。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656"/>
        <w:gridCol w:w="8338"/>
      </w:tblGrid>
      <w:tr>
        <w:trPr>
          <w:cantSplit/>
          <w:tblHeader/>
        </w:trPr>
        <w:tc>
          <w:tcPr>
            <w:tcW w:type="dxa" w:w="1656"/>
            <w:vAlign w:val="center"/>
            <w:shd w:fill="17365D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</w:t>
            </w:r>
          </w:p>
        </w:tc>
        <w:tc>
          <w:tcPr>
            <w:tcW w:type="dxa" w:w="8338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本次确定的边界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交付对象</w:t>
            </w:r>
          </w:p>
        </w:tc>
        <w:tc>
          <w:tcPr>
            <w:tcW w:type="dxa" w:w="833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客户取号与评价入口、店员工作台、后台管理、公共叫号屏；统一 Web 应用。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主要闭环</w:t>
            </w:r>
          </w:p>
        </w:tc>
        <w:tc>
          <w:tcPr>
            <w:tcW w:type="dxa" w:w="833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取号 → 查询业务 → 分析需求 → 推荐与质检 → 人工确认 → Mock 受理 → 评价 → 改进任务。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架构边界</w:t>
            </w:r>
          </w:p>
        </w:tc>
        <w:tc>
          <w:tcPr>
            <w:tcW w:type="dxa" w:w="833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React 前端、FastAPI 模块化单体、PostgreSQL；独立 BOSS Mock HTTP 进程；模型调用集中管理。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扩展原则</w:t>
            </w:r>
          </w:p>
        </w:tc>
        <w:tc>
          <w:tcPr>
            <w:tcW w:type="dxa" w:w="833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保留客户、账号、服务、产品政策版本和门店归属；第二三阶段按业务需要新增实体，不预建空模块。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规模假设</w:t>
            </w:r>
          </w:p>
        </w:tc>
        <w:tc>
          <w:tcPr>
            <w:tcW w:type="dxa" w:w="833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第一阶段单门店、少量窗口、固定角色、模拟数据，按个人开发每周约 20 小时安排。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1 1 使用方法</w:t>
      </w:r>
    </w:p>
    <w:p>
      <w:r>
        <w:rPr>
          <w:b w:val="0"/>
        </w:rPr>
        <w:t>先依据第 2—3 章建立工程与页面，再按第 17 章逐个完成施工包。数据、接口与状态规则在对应施工包开始前落实；每包通过最小相关验证后再进入下一包。配套《Agent 施工规则》约束编码行为，《架构设计说明》解释取舍。</w:t>
      </w:r>
    </w:p>
    <w:p>
      <w:pPr>
        <w:pStyle w:val="Heading2"/>
      </w:pPr>
      <w:r>
        <w:t>1 2 第一阶段交付闸门</w:t>
      </w:r>
    </w:p>
    <w:p>
      <w:pPr>
        <w:ind w:left="173" w:hanging="173"/>
      </w:pPr>
      <w:r>
        <w:rPr>
          <w:b w:val="0"/>
        </w:rPr>
        <w:t>•  业务路径可操作，关键事实有来源，人工确认绑定具体版本，受理失败与结果未知能够区分并追溯。</w:t>
      </w:r>
    </w:p>
    <w:p>
      <w:pPr>
        <w:ind w:left="173" w:hanging="173"/>
      </w:pPr>
      <w:r>
        <w:rPr>
          <w:b w:val="0"/>
        </w:rPr>
        <w:t>•  模型不可用时仍可查询、人工选方案、叫号和核对受理状态；任何页面不伪装已办结或已取得真实效果。</w:t>
      </w:r>
    </w:p>
    <w:p>
      <w:pPr>
        <w:ind w:left="173" w:hanging="173"/>
      </w:pPr>
      <w:r>
        <w:rPr>
          <w:b w:val="0"/>
        </w:rPr>
        <w:t>•  交付可启动版本、模拟数据、接口说明、迁移记录、测试证据、一次版本改进记录和演示脚本。</w:t>
      </w:r>
    </w:p>
    <w:p>
      <w:pPr>
        <w:pStyle w:val="Heading1"/>
        <w:pageBreakBefore/>
      </w:pPr>
      <w:r>
        <w:t>2 技术栈与工程组织</w:t>
      </w:r>
    </w:p>
    <w:p>
      <w:r>
        <w:rPr>
          <w:b w:val="0"/>
        </w:rPr>
        <w:t>采用下列版本系列作为实施起点；M0 联合验证前后端、驱动及模型适配兼容性后锁定精确版本。本文不声称这些依赖已经安装，也不要求追逐最新补丁。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195"/>
        <w:gridCol w:w="4003"/>
        <w:gridCol w:w="4795"/>
      </w:tblGrid>
      <w:tr>
        <w:trPr>
          <w:cantSplit/>
          <w:tblHeader/>
        </w:trPr>
        <w:tc>
          <w:tcPr>
            <w:tcW w:type="dxa" w:w="1195"/>
            <w:vAlign w:val="center"/>
            <w:shd w:fill="17365D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层次</w:t>
            </w:r>
          </w:p>
        </w:tc>
        <w:tc>
          <w:tcPr>
            <w:tcW w:type="dxa" w:w="4003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施工选型</w:t>
            </w:r>
          </w:p>
        </w:tc>
        <w:tc>
          <w:tcPr>
            <w:tcW w:type="dxa" w:w="4795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责任</w:t>
            </w:r>
          </w:p>
        </w:tc>
      </w:tr>
      <w:tr>
        <w:trPr>
          <w:cantSplit/>
        </w:trPr>
        <w:tc>
          <w:tcPr>
            <w:tcW w:type="dxa" w:w="1195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4003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React 19 系列、TypeScript、Vite</w:t>
            </w:r>
          </w:p>
        </w:tc>
        <w:tc>
          <w:tcPr>
            <w:tcW w:type="dxa" w:w="479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页面、路由、表单与构建；Node 版本按选定 Vite 的要求固定。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界面与请求</w:t>
            </w:r>
          </w:p>
        </w:tc>
        <w:tc>
          <w:tcPr>
            <w:tcW w:type="dxa" w:w="4003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Ant Design、React Router、TanStack Query</w:t>
            </w:r>
          </w:p>
        </w:tc>
        <w:tc>
          <w:tcPr>
            <w:tcW w:type="dxa" w:w="479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复用业务组件；URL 承载筛选条件；服务端数据缓存与失效。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接口与契约</w:t>
            </w:r>
          </w:p>
        </w:tc>
        <w:tc>
          <w:tcPr>
            <w:tcW w:type="dxa" w:w="4003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Python 3.12 起步、FastAPI、Pydantic 2</w:t>
            </w:r>
          </w:p>
        </w:tc>
        <w:tc>
          <w:tcPr>
            <w:tcW w:type="dxa" w:w="479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权限、业务流程、输入输出及外部返回值校验。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存储</w:t>
            </w:r>
          </w:p>
        </w:tc>
        <w:tc>
          <w:tcPr>
            <w:tcW w:type="dxa" w:w="4003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PostgreSQL 18 系列、SQLAlchemy 2、asyncpg、Alembic</w:t>
            </w:r>
          </w:p>
        </w:tc>
        <w:tc>
          <w:tcPr>
            <w:tcW w:type="dxa" w:w="479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关系约束、短事务、异步数据访问和可追溯迁移。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AI 与外部调用</w:t>
            </w:r>
          </w:p>
        </w:tc>
        <w:tc>
          <w:tcPr>
            <w:tcW w:type="dxa" w:w="4003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LangChain、一个选定的模型适配包、httpx</w:t>
            </w:r>
          </w:p>
        </w:tc>
        <w:tc>
          <w:tcPr>
            <w:tcW w:type="dxa" w:w="479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固定流程内调用模型与 Mock；服务端管理凭证。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验证与交付</w:t>
            </w:r>
          </w:p>
        </w:tc>
        <w:tc>
          <w:tcPr>
            <w:tcW w:type="dxa" w:w="4003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pytest、少量 Playwright、Docker Compose</w:t>
            </w:r>
          </w:p>
        </w:tc>
        <w:tc>
          <w:tcPr>
            <w:tcW w:type="dxa" w:w="479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业务集成验证、关键页面流程、演示环境。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2 1 最小目录</w:t>
      </w:r>
    </w:p>
    <w:p>
      <w:pPr>
        <w:keepLines/>
        <w:spacing w:line="260" w:lineRule="exact" w:before="40" w:after="140"/>
        <w:ind w:left="144"/>
      </w:pPr>
      <w:r>
        <w:rPr>
          <w:rFonts w:ascii="Consolas" w:hAnsi="Consolas" w:eastAsia="Microsoft YaHei"/>
          <w:sz w:val="19"/>
        </w:rPr>
        <w:t>frontend/src/{app,features,lib}</w:t>
        <w:br/>
        <w:t>backend/app/{main.py,core,modules,integrations}</w:t>
        <w:br/>
        <w:t>backend/{alembic,tests}    mock_boss/{app,tests}</w:t>
        <w:br/>
        <w:t>docs/{项目规划,技术施工}    compose.yaml</w:t>
      </w:r>
    </w:p>
    <w:p>
      <w:r>
        <w:rPr>
          <w:b w:val="0"/>
        </w:rPr>
        <w:t>modules 按 accounts、catalog、services、queue、recommendations、quality、acceptances、feedback、improvements、evaluations 逐包创建。每个模块只建立当下需要的 router.py、schemas.py、models.py、service.py；复杂规则才独立 rules.py。不预建通用 Repository、工作流引擎或插件注册系统。</w:t>
      </w:r>
    </w:p>
    <w:p>
      <w:pPr>
        <w:pStyle w:val="Heading2"/>
      </w:pPr>
      <w:r>
        <w:t>2 2 调用与依赖规则</w:t>
      </w:r>
    </w:p>
    <w:p>
      <w:r>
        <w:rPr>
          <w:b w:val="0"/>
        </w:rPr>
        <w:t>router 处理 HTTP、鉴权依赖和输入输出；service 编排业务与事务；rules 做不依赖网络的规则计算；models 负责持久化结构。跨模块操作调用明确的业务函数，禁止 router 互相调用。BOSS 与模型调用集中在 integrations，外部 SDK 不散落到页面和业务规则中。[S01][S02][S04]</w:t>
      </w:r>
    </w:p>
    <w:p>
      <w:pPr>
        <w:pStyle w:val="Heading1"/>
        <w:pageBreakBefore/>
      </w:pPr>
      <w:r>
        <w:t>3 页面结构与交互契约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512"/>
        <w:gridCol w:w="4896"/>
        <w:gridCol w:w="3586"/>
      </w:tblGrid>
      <w:tr>
        <w:trPr>
          <w:cantSplit/>
          <w:tblHeader/>
        </w:trPr>
        <w:tc>
          <w:tcPr>
            <w:tcW w:type="dxa" w:w="1512"/>
            <w:vAlign w:val="center"/>
            <w:shd w:fill="17365D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页面</w:t>
            </w:r>
          </w:p>
        </w:tc>
        <w:tc>
          <w:tcPr>
            <w:tcW w:type="dxa" w:w="4896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核心区域与动作</w:t>
            </w:r>
          </w:p>
        </w:tc>
        <w:tc>
          <w:tcPr>
            <w:tcW w:type="dxa" w:w="3586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必须呈现的状态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客户入口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选择或描述需求、确认类别、取号、查看本次排队</w:t>
            </w:r>
          </w:p>
        </w:tc>
        <w:tc>
          <w:tcPr>
            <w:tcW w:type="dxa" w:w="358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等待、叫号、过号、取消；不展示他人账号资料。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店员工作台</w:t>
            </w:r>
          </w:p>
        </w:tc>
        <w:tc>
          <w:tcPr>
            <w:tcW w:type="dxa" w:w="489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顶部窗口和服务计时；左侧账号事实；中间需求与方案；右侧质检与确认</w:t>
            </w:r>
          </w:p>
        </w:tc>
        <w:tc>
          <w:tcPr>
            <w:tcW w:type="dxa" w:w="358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查询中、资料不足、待追问、待复核、结果未知、已办结。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后台管理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资料与版本、服务质检、复盘改进、场景评测四组菜单</w:t>
            </w:r>
          </w:p>
        </w:tc>
        <w:tc>
          <w:tcPr>
            <w:tcW w:type="dxa" w:w="358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筛选范围、统计分母、数据更新时间、版本和操作人。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公共叫号屏</w:t>
            </w:r>
          </w:p>
        </w:tc>
        <w:tc>
          <w:tcPr>
            <w:tcW w:type="dxa" w:w="489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票号、业务类别、窗口</w:t>
            </w:r>
          </w:p>
        </w:tc>
        <w:tc>
          <w:tcPr>
            <w:tcW w:type="dxa" w:w="358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仅公共字段；断线后显示更新时间和连接状态。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客户评价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总体评分、问题标签、可选意见</w:t>
            </w:r>
          </w:p>
        </w:tc>
        <w:tc>
          <w:tcPr>
            <w:tcW w:type="dxa" w:w="358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评价成功、链接过期、已评价；不能重复计入。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3 1 推荐卡片与确认区</w:t>
      </w:r>
    </w:p>
    <w:p>
      <w:r>
        <w:rPr>
          <w:b w:val="0"/>
        </w:rPr>
        <w:t>最多展示三个候选方案。每张卡片固定显示当前方案对比、月费与已知一次性费用、优惠期限、合约条件、适用限制、推荐理由、不能解决的需求及依据。金额与合约来自后端结果，AI 只解释；未获得的数据写“未知”或“待核查”，不可默认为零。</w:t>
      </w:r>
    </w:p>
    <w:p>
      <w:r>
        <w:rPr>
          <w:b w:val="0"/>
        </w:rPr>
        <w:t>“保留当前套餐”和“转排障／安装服务”是有效结果。没有合适方案时保留原因和待确认问题。存在硬规则阻断时禁用受理确认；人工勾选不能绕过后端检查。编辑需求或方案后创建新版本，原确认失效。</w:t>
      </w:r>
    </w:p>
    <w:p>
      <w:pPr>
        <w:pStyle w:val="Heading2"/>
      </w:pPr>
      <w:r>
        <w:t>3 2 前端状态与请求处理</w:t>
      </w:r>
    </w:p>
    <w:p>
      <w:pPr>
        <w:ind w:left="173" w:hanging="173"/>
      </w:pPr>
      <w:r>
        <w:rPr>
          <w:b w:val="0"/>
        </w:rPr>
        <w:t>•  服务端数据放入 TanStack Query；抽屉、表单、当前步骤用组件状态。query key 包含门店、服务和筛选条件；退出或切换门店时清理相关缓存。</w:t>
      </w:r>
    </w:p>
    <w:p>
      <w:pPr>
        <w:ind w:left="173" w:hanging="173"/>
      </w:pPr>
      <w:r>
        <w:rPr>
          <w:b w:val="0"/>
        </w:rPr>
        <w:t>•  状态变化成功后只失效相关查询。受理等写请求不自动重试；重复点击使用同一个业务请求标识。查询与写入的重试策略显式配置。</w:t>
      </w:r>
    </w:p>
    <w:p>
      <w:pPr>
        <w:ind w:left="173" w:hanging="173"/>
      </w:pPr>
      <w:r>
        <w:rPr>
          <w:b w:val="0"/>
        </w:rPr>
        <w:t>•  第一阶段叫号屏约 3 秒轮询，离线停止伪装刷新；AI 先采用请求响应，提交时显示处理中。必须支持刷新后重新读取已保存的运行和受理状态。</w:t>
      </w:r>
    </w:p>
    <w:p>
      <w:pPr>
        <w:pStyle w:val="Heading2"/>
      </w:pPr>
      <w:r>
        <w:t>3 3 可用性验收</w:t>
      </w:r>
    </w:p>
    <w:p>
      <w:r>
        <w:rPr>
          <w:b w:val="0"/>
        </w:rPr>
        <w:t>表单有标签、错误提示可定位、按钮有禁用原因，状态不能只靠颜色区分；常用操作支持键盘。后台长表格先分页，不因演示数据少就一次拉取所有记录。</w:t>
      </w:r>
    </w:p>
    <w:p>
      <w:pPr>
        <w:pStyle w:val="Heading1"/>
        <w:pageBreakBefore/>
      </w:pPr>
      <w:r>
        <w:t>4 核心数据与业务事实</w:t>
      </w:r>
    </w:p>
    <w:p>
      <w:r>
        <w:rPr>
          <w:b w:val="0"/>
        </w:rPr>
        <w:t>以下是第一阶段实际需要的实体清单，按施工包逐步落表。统一使用 UUID 主键、created_at／updated_at、门店归属及必要的操作人；时间使用 timestamptz，保存 UTC，按门店时区显示。合约按日期判断时显式使用 Asia/Shanghai 业务日期。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218"/>
        <w:gridCol w:w="3398"/>
        <w:gridCol w:w="4378"/>
      </w:tblGrid>
      <w:tr>
        <w:trPr>
          <w:cantSplit/>
          <w:tblHeader/>
        </w:trPr>
        <w:tc>
          <w:tcPr>
            <w:tcW w:type="dxa" w:w="2218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实体</w:t>
            </w:r>
          </w:p>
        </w:tc>
        <w:tc>
          <w:tcPr>
            <w:tcW w:type="dxa" w:w="3398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关键字段</w:t>
            </w:r>
          </w:p>
        </w:tc>
        <w:tc>
          <w:tcPr>
            <w:tcW w:type="dxa" w:w="4378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约束与职责</w:t>
            </w:r>
          </w:p>
        </w:tc>
      </w:tr>
      <w:tr>
        <w:trPr>
          <w:cantSplit/>
        </w:trPr>
        <w:tc>
          <w:tcPr>
            <w:tcW w:type="dxa" w:w="221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stores／users</w:t>
              <w:br/>
              <w:t>user_store_roles</w:t>
            </w:r>
          </w:p>
        </w:tc>
        <w:tc>
          <w:tcPr>
            <w:tcW w:type="dxa" w:w="339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门店、用户、角色；用户密码摘要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用户名唯一；角色固定为店员、店长、管理员；资源查询按门店授权。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auth_sessions</w:t>
            </w:r>
          </w:p>
        </w:tc>
        <w:tc>
          <w:tcPr>
            <w:tcW w:type="dxa" w:w="339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token_hash、user_id、expires_at</w:t>
            </w:r>
          </w:p>
        </w:tc>
        <w:tc>
          <w:tcPr>
            <w:tcW w:type="dxa" w:w="437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服务端会话；原始令牌只给浏览器，不写入日志。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customers</w:t>
              <w:br/>
              <w:t>business_accounts</w:t>
            </w:r>
          </w:p>
        </w:tc>
        <w:tc>
          <w:tcPr>
            <w:tcW w:type="dxa" w:w="339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customer_id、store_id、account_type、number、external_id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演示号码为模拟数据；账号类型与号码组合在来源系统范围内唯一。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account_snapshots</w:t>
            </w:r>
          </w:p>
        </w:tc>
        <w:tc>
          <w:tcPr>
            <w:tcW w:type="dxa" w:w="339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account_id、source、source_time、fetched_at、schema_version、payload</w:t>
            </w:r>
          </w:p>
        </w:tc>
        <w:tc>
          <w:tcPr>
            <w:tcW w:type="dxa" w:w="437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查询结果不可覆盖；保存来源、是否完整、合约与费用的当时事实。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products</w:t>
              <w:br/>
              <w:t>policy_versions</w:t>
            </w:r>
          </w:p>
        </w:tc>
        <w:tc>
          <w:tcPr>
            <w:tcW w:type="dxa" w:w="339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product_id、version、有效期、适用条件、fee、contract_months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发布后的政策版本不可原地修改；同产品版本号唯一，生效区间校验。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service_sessions</w:t>
            </w:r>
          </w:p>
        </w:tc>
        <w:tc>
          <w:tcPr>
            <w:tcW w:type="dxa" w:w="339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store_id、customer_id、account_id、staff_id、status、started_at、ended_at</w:t>
            </w:r>
          </w:p>
        </w:tc>
        <w:tc>
          <w:tcPr>
            <w:tcW w:type="dxa" w:w="437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连接一次服务的业务中心；无需账号也能先接待，查询成功再关联。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4 1 事实来源与保留方式</w:t>
      </w:r>
    </w:p>
    <w:p>
      <w:r>
        <w:rPr>
          <w:b w:val="0"/>
        </w:rPr>
        <w:t>Mock 是账号套餐与合约的外部事实源；主应用保存本地账号关联与查询快照，通过 HTTP 获取数据，不读取 Mock 的内部表。界面必须区分来源时间与本次查询时间。未查到、查询失败和已查到但字段缺失是三种不同结果。</w:t>
      </w:r>
    </w:p>
    <w:p>
      <w:pPr>
        <w:pStyle w:val="Heading2"/>
      </w:pPr>
      <w:r>
        <w:t>4 2 字段类型与数据库约束</w:t>
      </w:r>
    </w:p>
    <w:p>
      <w:r>
        <w:rPr>
          <w:b w:val="0"/>
        </w:rPr>
        <w:t>金额使用 PostgreSQL NUMERIC(12,2)、Python Decimal，接口传十进制字符串；未知金额为 null。按业务规则约定分位舍入，前端不得用浮点数重新计算资费。核心标识、状态、金额和时间使用列；JSONB 仅承载有 schema_version 的快照与结构化输出。[S08][S09][S10]</w:t>
      </w:r>
    </w:p>
    <w:p>
      <w:r>
        <w:rPr>
          <w:b w:val="0"/>
        </w:rPr>
        <w:t>子记录不能挂到其他门店的父记录：重要关联采用包含 store_id 的唯一约束与复合外键，服务层同时核验归属。状态用字符串加命名 CHECK 约束；先不设计可由管理员随意扩展的状态字典。</w:t>
      </w:r>
    </w:p>
    <w:p>
      <w:r>
        <w:rPr>
          <w:b w:val="0"/>
        </w:rPr>
        <w:t>每个请求或并发任务持有独立 AsyncSession；事务由业务动作边界管理，禁止全局共享会话。异步访问预先加载需要的关系，避免序列化时隐式触发数据库 I/O。[S04]</w:t>
      </w:r>
    </w:p>
    <w:p>
      <w:pPr>
        <w:pStyle w:val="Heading1"/>
        <w:pageBreakBefore/>
      </w:pPr>
      <w:r>
        <w:t>5 过程数据与版本追溯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218"/>
        <w:gridCol w:w="4147"/>
        <w:gridCol w:w="3629"/>
      </w:tblGrid>
      <w:tr>
        <w:trPr>
          <w:cantSplit/>
          <w:tblHeader/>
        </w:trPr>
        <w:tc>
          <w:tcPr>
            <w:tcW w:type="dxa" w:w="2218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实体</w:t>
            </w:r>
          </w:p>
        </w:tc>
        <w:tc>
          <w:tcPr>
            <w:tcW w:type="dxa" w:w="4147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必须保留的信息</w:t>
            </w:r>
          </w:p>
        </w:tc>
        <w:tc>
          <w:tcPr>
            <w:tcW w:type="dxa" w:w="3629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不变量</w:t>
            </w:r>
          </w:p>
        </w:tc>
      </w:tr>
      <w:tr>
        <w:trPr>
          <w:cantSplit/>
        </w:trPr>
        <w:tc>
          <w:tcPr>
            <w:tcW w:type="dxa" w:w="221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windows</w:t>
              <w:br/>
              <w:t>queue_tickets</w:t>
              <w:br/>
              <w:t>service_events</w:t>
            </w:r>
          </w:p>
        </w:tc>
        <w:tc>
          <w:tcPr>
            <w:tcW w:type="dxa" w:w="414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窗口支持类别；票号、窗口与各环节时间；操作、原状态、新状态、原因</w:t>
            </w:r>
          </w:p>
        </w:tc>
        <w:tc>
          <w:tcPr>
            <w:tcW w:type="dxa" w:w="362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队列事件只追加；票号按门店和业务日唯一。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recommendations</w:t>
            </w:r>
          </w:p>
        </w:tc>
        <w:tc>
          <w:tcPr>
            <w:tcW w:type="dxa" w:w="4147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service_id、snapshot_id、需求快照、候选结果、政策版本、supersedes_id</w:t>
            </w:r>
          </w:p>
        </w:tc>
        <w:tc>
          <w:tcPr>
            <w:tcW w:type="dxa" w:w="362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每次修改形成不可变版本；确认只指向一个具体推荐与候选。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prompt_versions</w:t>
              <w:br/>
              <w:t>ai_runs</w:t>
            </w:r>
          </w:p>
        </w:tc>
        <w:tc>
          <w:tcPr>
            <w:tcW w:type="dxa" w:w="414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场景、提示词版本；输入摘要、模型标识、参数、状态、输出、用量、错误</w:t>
            </w:r>
          </w:p>
        </w:tc>
        <w:tc>
          <w:tcPr>
            <w:tcW w:type="dxa" w:w="362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发布的提示词只新增版本；每次运行可回到当时输入与规则版本。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quality_checks</w:t>
            </w:r>
          </w:p>
        </w:tc>
        <w:tc>
          <w:tcPr>
            <w:tcW w:type="dxa" w:w="4147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target_type／target_id、input_hash、规则版本、发现项、复核结果</w:t>
            </w:r>
          </w:p>
        </w:tc>
        <w:tc>
          <w:tcPr>
            <w:tcW w:type="dxa" w:w="362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质检针对固定输入；修改后必须重检；复核人与理由追加到事件中。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acceptances</w:t>
              <w:br/>
              <w:t>service_tasks</w:t>
            </w:r>
          </w:p>
        </w:tc>
        <w:tc>
          <w:tcPr>
            <w:tcW w:type="dxa" w:w="414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来源服务、候选、确认人、请求号、外部单号与状态；任务类别及处理记录</w:t>
            </w:r>
          </w:p>
        </w:tc>
        <w:tc>
          <w:tcPr>
            <w:tcW w:type="dxa" w:w="362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受理和排障任务分开；前台结束接待不等于外部办理完成。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feedback_tokens</w:t>
              <w:br/>
              <w:t>feedback</w:t>
            </w:r>
          </w:p>
        </w:tc>
        <w:tc>
          <w:tcPr>
            <w:tcW w:type="dxa" w:w="4147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服务、令牌摘要、到期时间；评分、标签、文本</w:t>
            </w:r>
          </w:p>
        </w:tc>
        <w:tc>
          <w:tcPr>
            <w:tcW w:type="dxa" w:w="362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同一服务最多一份有效评价；令牌只允许用于对应服务。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improvement_tasks</w:t>
            </w:r>
          </w:p>
        </w:tc>
        <w:tc>
          <w:tcPr>
            <w:tcW w:type="dxa" w:w="414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统计证据快照、建议、负责人、状态、验证记录</w:t>
            </w:r>
          </w:p>
        </w:tc>
        <w:tc>
          <w:tcPr>
            <w:tcW w:type="dxa" w:w="362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AI 建议经人审核后才成为任务，验证后方可关闭。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evaluation_cases</w:t>
              <w:br/>
              <w:t>evaluation_runs</w:t>
              <w:br/>
              <w:t>evaluation_results</w:t>
            </w:r>
          </w:p>
        </w:tc>
        <w:tc>
          <w:tcPr>
            <w:tcW w:type="dxa" w:w="4147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用例集、预期标签、版本、实测结果与失败原因</w:t>
            </w:r>
          </w:p>
        </w:tc>
        <w:tc>
          <w:tcPr>
            <w:tcW w:type="dxa" w:w="362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开发集与保留集分开；保留原始结果，不能用修改标签美化指标。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5 1 一次决策必须能重放</w:t>
      </w:r>
    </w:p>
    <w:p>
      <w:r>
        <w:rPr>
          <w:b w:val="0"/>
        </w:rPr>
        <w:t>推荐记录绑定账号快照、产品政策版本、规则版本和 AI 运行；质检绑定推荐输入摘要；受理绑定具体推荐候选和确认事件。后续政策变更不得让历史推荐显示成新价格。重放指利用已保存的输入核对当时规则，不保证再次调用模型得到逐字相同的回答。</w:t>
      </w:r>
    </w:p>
    <w:p>
      <w:pPr>
        <w:pStyle w:val="Heading2"/>
      </w:pPr>
      <w:r>
        <w:t>5 2 事件与日志的分工</w:t>
      </w:r>
    </w:p>
    <w:p>
      <w:r>
        <w:rPr>
          <w:b w:val="0"/>
        </w:rPr>
        <w:t>service_events 保存用户可理解的业务状态和复核轨迹；结构化运行日志用于请求定位。两者都携带 request_id 与必要的实体标识，日志不复制完整号码、模型密钥或评价令牌。普通查看不写大量业务事件，修改、确认、调整、受理和复核必须留痕。</w:t>
      </w:r>
    </w:p>
    <w:p>
      <w:pPr>
        <w:pStyle w:val="Heading1"/>
        <w:pageBreakBefore/>
      </w:pPr>
      <w:r>
        <w:t>6 HTTP 接口与错误协议</w:t>
      </w:r>
    </w:p>
    <w:p>
      <w:r>
        <w:rPr>
          <w:b w:val="0"/>
        </w:rPr>
        <w:t>统一前缀 /api/v1。鉴权由后端执行；GET 用于读取，POST 表达业务动作。普通响应直接返回稳定的资源 DTO，列表返回 items、total、page、page_size；错误统一返回 code、message、request_id、details。对外模型与 ORM 模型分离，公共屏使用独立 DTO。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4435"/>
        <w:gridCol w:w="2750"/>
        <w:gridCol w:w="2808"/>
      </w:tblGrid>
      <w:tr>
        <w:trPr>
          <w:cantSplit/>
          <w:tblHeader/>
        </w:trPr>
        <w:tc>
          <w:tcPr>
            <w:tcW w:type="dxa" w:w="4435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接口示例</w:t>
            </w:r>
          </w:p>
        </w:tc>
        <w:tc>
          <w:tcPr>
            <w:tcW w:type="dxa" w:w="2750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输入或动作</w:t>
            </w:r>
          </w:p>
        </w:tc>
        <w:tc>
          <w:tcPr>
            <w:tcW w:type="dxa" w:w="2808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成功结果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POST /service-sessions</w:t>
            </w:r>
          </w:p>
        </w:tc>
        <w:tc>
          <w:tcPr>
            <w:tcW w:type="dxa" w:w="275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渠道、可选 queue_ticket_id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201，service_id；重复票号不新建第二个服务。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POST /service-sessions/{id}/account-query</w:t>
            </w:r>
          </w:p>
        </w:tc>
        <w:tc>
          <w:tcPr>
            <w:tcW w:type="dxa" w:w="275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模拟号码、账号类型</w:t>
            </w:r>
          </w:p>
        </w:tc>
        <w:tc>
          <w:tcPr>
            <w:tcW w:type="dxa" w:w="280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200，snapshot_id、来源及查询状态。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POST /service-sessions/{id}/recommendations</w:t>
            </w:r>
          </w:p>
        </w:tc>
        <w:tc>
          <w:tcPr>
            <w:tcW w:type="dxa" w:w="275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需求、snapshot_id、请求标识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201，推荐版本；资料不足返回追问结果。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POST /recommendations/{id}/quality-checks</w:t>
            </w:r>
          </w:p>
        </w:tc>
        <w:tc>
          <w:tcPr>
            <w:tcW w:type="dxa" w:w="275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检查范围或目标文本</w:t>
            </w:r>
          </w:p>
        </w:tc>
        <w:tc>
          <w:tcPr>
            <w:tcW w:type="dxa" w:w="280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201，质检单、依据、阻断项。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POST /acceptances</w:t>
            </w:r>
          </w:p>
        </w:tc>
        <w:tc>
          <w:tcPr>
            <w:tcW w:type="dxa" w:w="275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推荐与候选、Idempotency-Key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201，DRAFT；同键同内容返回原单。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POST /acceptances/{id}/confirm</w:t>
            </w:r>
          </w:p>
        </w:tc>
        <w:tc>
          <w:tcPr>
            <w:tcW w:type="dxa" w:w="275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expected_version、质检标识</w:t>
            </w:r>
          </w:p>
        </w:tc>
        <w:tc>
          <w:tcPr>
            <w:tcW w:type="dxa" w:w="280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确认并尝试提交；同步完成为 200，等待核对为 202。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POST /acceptances/{id}/reconcile</w:t>
            </w:r>
          </w:p>
        </w:tc>
        <w:tc>
          <w:tcPr>
            <w:tcW w:type="dxa" w:w="275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人工触发状态查询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200，最新本地状态、外部结果及核对时间。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POST /windows/{id}/call-next</w:t>
            </w:r>
          </w:p>
        </w:tc>
        <w:tc>
          <w:tcPr>
            <w:tcW w:type="dxa" w:w="275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窗口、支持类别</w:t>
            </w:r>
          </w:p>
        </w:tc>
        <w:tc>
          <w:tcPr>
            <w:tcW w:type="dxa" w:w="280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200，当前或新叫号票；无票返回 ticket: null。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6 1 状态码与可操作错误</w:t>
      </w:r>
    </w:p>
    <w:p>
      <w:r>
        <w:rPr>
          <w:b w:val="0"/>
        </w:rPr>
        <w:t>401 未登录，403 无权限，404 资源不存在或不在授权范围，422 字段不合法，409 状态或版本冲突、同请求键不同内容。外部查询失败可用 502／504；已经形成受理且结果不明时返回受理资源及 UNKNOWN，不用一个通用报错让前端误判为未提交。</w:t>
      </w:r>
    </w:p>
    <w:p>
      <w:pPr>
        <w:pStyle w:val="Heading2"/>
      </w:pPr>
      <w:r>
        <w:t>6 2 重复请求的范围</w:t>
      </w:r>
    </w:p>
    <w:p>
      <w:r>
        <w:rPr>
          <w:b w:val="0"/>
        </w:rPr>
        <w:t>受理创建键在门店内唯一，持久化键与规范化请求体摘要。同键同内容返回原结果，同键不同内容返回 409。叫号按窗口当前有效票实现重复安全；评价按服务唯一约束处理。只在真正有重复风险的业务上实现，不先建设通用幂等中间件。</w:t>
      </w:r>
    </w:p>
    <w:p>
      <w:r>
        <w:rPr>
          <w:b w:val="0"/>
        </w:rPr>
        <w:t>接口以 FastAPI OpenAPI 为契约；前端先维护薄类型定义，禁止手写第二套资费规则。需要生成客户端时再引入生成步骤，并在施工包中验证生成结果。</w:t>
      </w:r>
    </w:p>
    <w:p>
      <w:pPr>
        <w:pStyle w:val="Heading1"/>
        <w:pageBreakBefore/>
      </w:pPr>
      <w:r>
        <w:t>7 推荐链路与确定性规则</w:t>
      </w:r>
    </w:p>
    <w:p>
      <w:r>
        <w:rPr>
          <w:b w:val="0"/>
        </w:rPr>
        <w:t>业务服务以固定顺序控制推荐，不让模型自行决定下一步写操作。输入包括服务、号码查询快照、客服录入需求、当前有效政策以及实际获授权的门店范围。</w:t>
      </w:r>
    </w:p>
    <w:p>
      <w:pPr>
        <w:keepLines/>
        <w:spacing w:line="260" w:lineRule="exact" w:before="40" w:after="140"/>
        <w:ind w:left="144"/>
      </w:pPr>
      <w:r>
        <w:rPr>
          <w:rFonts w:ascii="Consolas" w:hAnsi="Consolas" w:eastAsia="Microsoft YaHei"/>
          <w:sz w:val="19"/>
        </w:rPr>
        <w:t>账号快照 + 客服需求</w:t>
        <w:br/>
        <w:t xml:space="preserve">  → 需求结构化 → 缺项检查</w:t>
        <w:br/>
        <w:t xml:space="preserve">  → 程序筛选候选 → 费用与资格校验</w:t>
        <w:br/>
        <w:t xml:space="preserve">  → AI 解释候选 → 独立质检</w:t>
        <w:br/>
        <w:t xml:space="preserve">  → 人工选择并确认 → 受理草稿或服务任务</w:t>
      </w:r>
    </w:p>
    <w:p>
      <w:pPr>
        <w:pStyle w:val="Heading2"/>
      </w:pPr>
      <w:r>
        <w:t>7 1 需求与规则的输入输出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275"/>
        <w:gridCol w:w="4046"/>
        <w:gridCol w:w="3672"/>
      </w:tblGrid>
      <w:tr>
        <w:trPr>
          <w:cantSplit/>
          <w:tblHeader/>
        </w:trPr>
        <w:tc>
          <w:tcPr>
            <w:tcW w:type="dxa" w:w="2275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对象</w:t>
            </w:r>
          </w:p>
        </w:tc>
        <w:tc>
          <w:tcPr>
            <w:tcW w:type="dxa" w:w="4046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建议字段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规则</w:t>
            </w:r>
          </w:p>
        </w:tc>
      </w:tr>
      <w:tr>
        <w:trPr>
          <w:cantSplit/>
        </w:trPr>
        <w:tc>
          <w:tcPr>
            <w:tcW w:type="dxa" w:w="227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DemandProfile</w:t>
            </w:r>
          </w:p>
        </w:tc>
        <w:tc>
          <w:tcPr>
            <w:tcW w:type="dxa" w:w="404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intent、budget、must_keep、issues、missing_fields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意图限制为咨询、套餐变更、排障、安装等枚举；缺失信息显式列出。</w:t>
            </w:r>
          </w:p>
        </w:tc>
      </w:tr>
      <w:tr>
        <w:trPr>
          <w:cantSplit/>
        </w:trPr>
        <w:tc>
          <w:tcPr>
            <w:tcW w:type="dxa" w:w="227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EligibilityResult</w:t>
            </w:r>
          </w:p>
        </w:tc>
        <w:tc>
          <w:tcPr>
            <w:tcW w:type="dxa" w:w="404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eligible／ineligible／unknown、reason_codes、evidence_ids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资格未知时禁止当作可办理；保留被筛除原因用于解释。</w:t>
            </w:r>
          </w:p>
        </w:tc>
      </w:tr>
      <w:tr>
        <w:trPr>
          <w:cantSplit/>
        </w:trPr>
        <w:tc>
          <w:tcPr>
            <w:tcW w:type="dxa" w:w="227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FeeBreakdown</w:t>
            </w:r>
          </w:p>
        </w:tc>
        <w:tc>
          <w:tcPr>
            <w:tcW w:type="dxa" w:w="404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monthly_fee、one_time_fee、discount_end、known_total、unknown_items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只汇总已知费用；存在未知项时不宣称为完整总价。</w:t>
            </w:r>
          </w:p>
        </w:tc>
      </w:tr>
      <w:tr>
        <w:trPr>
          <w:cantSplit/>
        </w:trPr>
        <w:tc>
          <w:tcPr>
            <w:tcW w:type="dxa" w:w="227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Candidate</w:t>
            </w:r>
          </w:p>
        </w:tc>
        <w:tc>
          <w:tcPr>
            <w:tcW w:type="dxa" w:w="404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candidate_id、product_id、policy_version_id、费用、约束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候选 ID 由后端生成；当前套餐作为可比较选项。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7 2 校验顺序与关键细节</w:t>
      </w:r>
    </w:p>
    <w:p>
      <w:r>
        <w:rPr>
          <w:b w:val="0"/>
        </w:rPr>
        <w:t>先检查账号查询是否足以判断，再核对政策有效期、门店或区域、账号条件、在约限制、必保服务与费用。候选排序依据明示规则，如满足硬条件后按可核实的月费、需求匹配程度排列；不得让 AI 发明套餐或自行改变价格。</w:t>
      </w:r>
    </w:p>
    <w:p>
      <w:r>
        <w:rPr>
          <w:b w:val="0"/>
        </w:rPr>
        <w:t>合约剩余时间以明确的业务日期计算，不用服务端默认时区，也不简单用“月份差”代替合同边界。优惠到期后费用单列。变更限制无法判定时返回待核查，不能用平均经验填补。</w:t>
      </w:r>
    </w:p>
    <w:p>
      <w:pPr>
        <w:pStyle w:val="Heading2"/>
      </w:pPr>
      <w:r>
        <w:t>7 3 确认前再验证</w:t>
      </w:r>
    </w:p>
    <w:p>
      <w:r>
        <w:rPr>
          <w:b w:val="0"/>
        </w:rPr>
        <w:t>确认时重新核对推荐版本、质检输入摘要、政策是否仍有效，以及必要的外部账号事实；事实已变化则返回 409 并要求重新推荐。价格和资格以最终外部受理结果为准，前置校验只是减少错误，不能承诺跨系统强一致。</w:t>
      </w:r>
    </w:p>
    <w:p>
      <w:pPr>
        <w:pStyle w:val="Heading1"/>
        <w:pageBreakBefore/>
      </w:pPr>
      <w:r>
        <w:t>8 AI 调用与故障恢复</w:t>
      </w:r>
    </w:p>
    <w:p>
      <w:r>
        <w:rPr>
          <w:b w:val="0"/>
        </w:rPr>
        <w:t>LangChain 只负责模型调用、提示词组织及结构化输出；工作流由 Python 服务函数决定。使用异步 model.ainvoke，按需配合 with_structured_output，不因引入 LangChain 就引入自主 Agent、工具循环或向量数据库。结构化输出方式依赖所选模型提供方，M0 做一次兼容性探针。[S03][S05]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678"/>
        <w:gridCol w:w="3629"/>
        <w:gridCol w:w="3686"/>
      </w:tblGrid>
      <w:tr>
        <w:trPr>
          <w:cantSplit/>
          <w:tblHeader/>
        </w:trPr>
        <w:tc>
          <w:tcPr>
            <w:tcW w:type="dxa" w:w="2678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输出结构</w:t>
            </w:r>
          </w:p>
        </w:tc>
        <w:tc>
          <w:tcPr>
            <w:tcW w:type="dxa" w:w="3629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允许生成的内容</w:t>
            </w:r>
          </w:p>
        </w:tc>
        <w:tc>
          <w:tcPr>
            <w:tcW w:type="dxa" w:w="3686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后端再次检查</w:t>
            </w:r>
          </w:p>
        </w:tc>
      </w:tr>
      <w:tr>
        <w:trPr>
          <w:cantSplit/>
        </w:trPr>
        <w:tc>
          <w:tcPr>
            <w:tcW w:type="dxa" w:w="267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Recommendation</w:t>
              <w:br/>
              <w:t>Explanation</w:t>
            </w:r>
          </w:p>
        </w:tc>
        <w:tc>
          <w:tcPr>
            <w:tcW w:type="dxa" w:w="362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候选原因、限制说明、待确认问题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只引用本次候选 ID 和证据 ID；费用事实必须与后端一致。</w:t>
            </w:r>
          </w:p>
        </w:tc>
      </w:tr>
      <w:tr>
        <w:trPr>
          <w:cantSplit/>
        </w:trPr>
        <w:tc>
          <w:tcPr>
            <w:tcW w:type="dxa" w:w="267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QualityReport</w:t>
            </w:r>
          </w:p>
        </w:tc>
        <w:tc>
          <w:tcPr>
            <w:tcW w:type="dxa" w:w="362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问题类别、目标字段或原文片段、说明、证据</w:t>
            </w:r>
          </w:p>
        </w:tc>
        <w:tc>
          <w:tcPr>
            <w:tcW w:type="dxa" w:w="368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问题对象存在；硬规则结果不可被模型覆盖。</w:t>
            </w:r>
          </w:p>
        </w:tc>
      </w:tr>
      <w:tr>
        <w:trPr>
          <w:cantSplit/>
        </w:trPr>
        <w:tc>
          <w:tcPr>
            <w:tcW w:type="dxa" w:w="267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ImprovementProposal</w:t>
            </w:r>
          </w:p>
        </w:tc>
        <w:tc>
          <w:tcPr>
            <w:tcW w:type="dxa" w:w="362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问题摘要、证据指标、建议动作、验证办法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指标和分母来自已保存统计，禁止编造因果、负责人或已完成状态。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8 1 可追溯调用流程</w:t>
      </w:r>
    </w:p>
    <w:p>
      <w:pPr>
        <w:ind w:left="173" w:hanging="173"/>
      </w:pPr>
      <w:r>
        <w:rPr>
          <w:b w:val="0"/>
        </w:rPr>
        <w:t>•  调用前短事务写入 ai_runs，状态 RUNNING，保存 request_key、场景、版本、脱敏输入和截止时间后提交。模型调用期间不持有数据库行锁。</w:t>
      </w:r>
    </w:p>
    <w:p>
      <w:pPr>
        <w:ind w:left="173" w:hanging="173"/>
      </w:pPr>
      <w:r>
        <w:rPr>
          <w:b w:val="0"/>
        </w:rPr>
        <w:t>•  调用后先做 Pydantic 校验，再检查候选与证据引用、权限、价格及业务规则；校验通过才保存可用结果。结构合法不代表事实正确。</w:t>
      </w:r>
    </w:p>
    <w:p>
      <w:pPr>
        <w:ind w:left="173" w:hanging="173"/>
      </w:pPr>
      <w:r>
        <w:rPr>
          <w:b w:val="0"/>
        </w:rPr>
        <w:t>•  格式不合格最多进行一次修复调用，仍失败则标记 FAILED。超时与重试共享总截止时间，初始预算建议单次 30 秒、整条辅助流程 60 秒，M0 实测后调整。</w:t>
      </w:r>
    </w:p>
    <w:p>
      <w:pPr>
        <w:pStyle w:val="Heading2"/>
      </w:pPr>
      <w:r>
        <w:t>8 2 刷新与中断</w:t>
      </w:r>
    </w:p>
    <w:p>
      <w:r>
        <w:rPr>
          <w:b w:val="0"/>
        </w:rPr>
        <w:t>客户端为一次操作生成稳定 request_key，可查询该运行的状态与结果。进程重启后，超过截止时间及短宽限期的 RUNNING 才可条件更新为 INTERRUPTED；未过期运行不擅自判失败，迟到结果不能覆盖终态。重新运行创建新记录并关联原记录。</w:t>
      </w:r>
    </w:p>
    <w:p>
      <w:r>
        <w:rPr>
          <w:b w:val="0"/>
        </w:rPr>
        <w:t>第一阶段不承诺任务自动恢复执行。失败后页面保留已核实事实，提供人工查询和手选方案。评测批次由命令行进程执行并持续保存进度，Web 只查看记录；不能把 FastAPI BackgroundTasks 当作持久任务队列。[S11]</w:t>
      </w:r>
    </w:p>
    <w:p>
      <w:pPr>
        <w:pStyle w:val="Heading2"/>
      </w:pPr>
      <w:r>
        <w:t>8 3 提示词与输入信任</w:t>
      </w:r>
    </w:p>
    <w:p>
      <w:r>
        <w:rPr>
          <w:b w:val="0"/>
        </w:rPr>
        <w:t>客户文本、外部回答和资料摘录均为数据，不允许改变系统权限或工具范围。模型密钥仅在后端；不把完整号码等与分析无关的信息送入模型。版本记录保存实际模型标识、参数、提示词版本和知识／政策版本。</w:t>
      </w:r>
    </w:p>
    <w:p>
      <w:pPr>
        <w:pStyle w:val="Heading1"/>
        <w:pageBreakBefore/>
      </w:pPr>
      <w:r>
        <w:t>9 质检规则与人工复核</w:t>
      </w:r>
    </w:p>
    <w:p>
      <w:r>
        <w:rPr>
          <w:b w:val="0"/>
        </w:rPr>
        <w:t>质检覆盖方案推荐、客服解释草稿和推广文本。先运行价格、日期、范围、资格和关键条件的确定性检查，再由模型辅助识别语义遗漏与解释问题。质量结论分 PASS、BLOCKED、NEEDS_REVIEW，避免将“不知道”混成通过。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829"/>
        <w:gridCol w:w="4536"/>
        <w:gridCol w:w="3629"/>
      </w:tblGrid>
      <w:tr>
        <w:trPr>
          <w:cantSplit/>
          <w:tblHeader/>
        </w:trPr>
        <w:tc>
          <w:tcPr>
            <w:tcW w:type="dxa" w:w="1829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4536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证据及检查方式</w:t>
            </w:r>
          </w:p>
        </w:tc>
        <w:tc>
          <w:tcPr>
            <w:tcW w:type="dxa" w:w="3629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处置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价格与优惠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对照指定政策版本与后端费用结果</w:t>
            </w:r>
          </w:p>
        </w:tc>
        <w:tc>
          <w:tcPr>
            <w:tcW w:type="dxa" w:w="362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明确冲突 BLOCKED；未知费用标记待核查。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活动日期与适用范围</w:t>
            </w:r>
          </w:p>
        </w:tc>
        <w:tc>
          <w:tcPr>
            <w:tcW w:type="dxa" w:w="453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检查生效日期、门店、账号条件</w:t>
            </w:r>
          </w:p>
        </w:tc>
        <w:tc>
          <w:tcPr>
            <w:tcW w:type="dxa" w:w="362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过期或不适用 BLOCKED。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合约及捆绑条件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对照 required_disclosures 与账号限制</w:t>
            </w:r>
          </w:p>
        </w:tc>
        <w:tc>
          <w:tcPr>
            <w:tcW w:type="dxa" w:w="362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确定遗漏需补充；修改后重新质检。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自由文本事实提取</w:t>
            </w:r>
          </w:p>
        </w:tc>
        <w:tc>
          <w:tcPr>
            <w:tcW w:type="dxa" w:w="453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提取声称的价格、对象和条件</w:t>
            </w:r>
          </w:p>
        </w:tc>
        <w:tc>
          <w:tcPr>
            <w:tcW w:type="dxa" w:w="362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提取不完整或无法定位时 NEEDS_REVIEW。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承诺与解释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对照可以核实的服务范围和政策</w:t>
            </w:r>
          </w:p>
        </w:tc>
        <w:tc>
          <w:tcPr>
            <w:tcW w:type="dxa" w:w="362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模型提供问题草稿，人工核验语义结论。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9 1 质检发现项结构</w:t>
      </w:r>
    </w:p>
    <w:p>
      <w:pPr>
        <w:keepLines/>
        <w:spacing w:line="260" w:lineRule="exact" w:before="40" w:after="140"/>
        <w:ind w:left="144"/>
      </w:pPr>
      <w:r>
        <w:rPr>
          <w:rFonts w:ascii="Consolas" w:hAnsi="Consolas" w:eastAsia="Microsoft YaHei"/>
          <w:sz w:val="19"/>
        </w:rPr>
        <w:t>finding_id, rule_id, severity, field_path</w:t>
        <w:br/>
        <w:t>source_excerpt, evidence_ids, expected_value</w:t>
        <w:br/>
        <w:t>actual_value, explanation, suggested_revision</w:t>
      </w:r>
    </w:p>
    <w:p>
      <w:r>
        <w:rPr>
          <w:b w:val="0"/>
        </w:rPr>
        <w:t>优先用字段路径或原文片段定位，第一阶段不承诺字符级高亮偏移，避免中文与前端字符串编码口径不一致。每次检查保存原始输入及摘要、规则版本和提示词版本。证据链接打开对应版本，不能跳到当前已修改的资料。</w:t>
      </w:r>
    </w:p>
    <w:p>
      <w:pPr>
        <w:pStyle w:val="Heading2"/>
      </w:pPr>
      <w:r>
        <w:t>9 2 人工复核与阻断</w:t>
      </w:r>
    </w:p>
    <w:p>
      <w:r>
        <w:rPr>
          <w:b w:val="0"/>
        </w:rPr>
        <w:t>人工可以确认语义问题、驳回误报或修改草稿，必须记录复核人、理由和时间。确定性价格冲突、无权限、已知不适用等硬阻断不能用“人工通过”绕开；应修正输入、资料或规则后重检。修正政策本身需要有资料维护权限并形成新版本。</w:t>
      </w:r>
    </w:p>
    <w:p>
      <w:pPr>
        <w:pStyle w:val="Heading2"/>
      </w:pPr>
      <w:r>
        <w:t>9 3 验收示例</w:t>
      </w:r>
    </w:p>
    <w:p>
      <w:r>
        <w:rPr>
          <w:b w:val="0"/>
        </w:rPr>
        <w:t>同一套餐将 99.00 元写成 79.00 元时必须发现且给出政策依据；文本遗漏合约限制时指出对应条件；无资料证明的费用不得生成确定结论。修改文本后，旧检查不能直接被新的受理引用。演示必须同时有正确、错误、遗漏和未知四类样例。</w:t>
      </w:r>
    </w:p>
    <w:p>
      <w:pPr>
        <w:pStyle w:val="Heading1"/>
        <w:pageBreakBefore/>
      </w:pPr>
      <w:r>
        <w:t>10 排队状态与并发控制</w:t>
      </w:r>
    </w:p>
    <w:p>
      <w:r>
        <w:rPr>
          <w:b w:val="0"/>
        </w:rPr>
        <w:t>AI 只建议业务类别，客户或店员确认后取号。队列顺序由确定性规则决定：按窗口可办理类别筛选等待票，按 queued_at、id 排序。人工调整需权限与理由；不实施隐藏的 AI 优先级。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728"/>
        <w:gridCol w:w="4507"/>
        <w:gridCol w:w="3758"/>
      </w:tblGrid>
      <w:tr>
        <w:trPr>
          <w:cantSplit/>
          <w:tblHeader/>
        </w:trPr>
        <w:tc>
          <w:tcPr>
            <w:tcW w:type="dxa" w:w="1728"/>
            <w:vAlign w:val="center"/>
            <w:shd w:fill="17365D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4507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允许动作与下一状态</w:t>
            </w:r>
          </w:p>
        </w:tc>
        <w:tc>
          <w:tcPr>
            <w:tcW w:type="dxa" w:w="3758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约束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WAITING</w:t>
            </w:r>
          </w:p>
        </w:tc>
        <w:tc>
          <w:tcPr>
            <w:tcW w:type="dxa" w:w="450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叫号 → CALLED；取消 → CANCELLED</w:t>
            </w:r>
          </w:p>
        </w:tc>
        <w:tc>
          <w:tcPr>
            <w:tcW w:type="dxa" w:w="375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仅匹配类别的窗口可叫号。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CALLED</w:t>
            </w:r>
          </w:p>
        </w:tc>
        <w:tc>
          <w:tcPr>
            <w:tcW w:type="dxa" w:w="4507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开始服务 → SERVING；过号 → MISSED</w:t>
            </w:r>
          </w:p>
        </w:tc>
        <w:tc>
          <w:tcPr>
            <w:tcW w:type="dxa" w:w="375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同窗口最多一张有效票；保留叫号时间。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MISSED</w:t>
            </w:r>
          </w:p>
        </w:tc>
        <w:tc>
          <w:tcPr>
            <w:tcW w:type="dxa" w:w="450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重新排队 → WAITING；取消 → CANCELLED</w:t>
            </w:r>
          </w:p>
        </w:tc>
        <w:tc>
          <w:tcPr>
            <w:tcW w:type="dxa" w:w="375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重排更新 queued_at 并记录原因，原取号时间保留。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SERVING</w:t>
            </w:r>
          </w:p>
        </w:tc>
        <w:tc>
          <w:tcPr>
            <w:tcW w:type="dxa" w:w="4507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结束接待 → DONE</w:t>
            </w:r>
          </w:p>
        </w:tc>
        <w:tc>
          <w:tcPr>
            <w:tcW w:type="dxa" w:w="375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记录接待起止时间；未完成的外部受理继续跟踪。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DONE／CANCELLED</w:t>
            </w:r>
          </w:p>
        </w:tc>
        <w:tc>
          <w:tcPr>
            <w:tcW w:type="dxa" w:w="450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不允许继续推进队列</w:t>
            </w:r>
          </w:p>
        </w:tc>
        <w:tc>
          <w:tcPr>
            <w:tcW w:type="dxa" w:w="375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需继续服务时建立新的服务记录并关联原记录。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10 1 第一阶段锁定策略</w:t>
      </w:r>
    </w:p>
    <w:p>
      <w:r>
        <w:rPr>
          <w:b w:val="0"/>
        </w:rPr>
        <w:t>在一个短事务中先锁门店行，再锁目标窗口，读取该窗口当前有效票；若已有则直接返回，否则按规则选择下一张 WAITING，更新为 CALLED 并写事件后提交。所有叫号及改变有效票归属的动作遵守同一锁顺序。每店串行调度使规则易于解释，少量窗口下足够使用。[S07]</w:t>
      </w:r>
    </w:p>
    <w:p>
      <w:pPr>
        <w:keepLines/>
        <w:spacing w:line="260" w:lineRule="exact" w:before="40" w:after="140"/>
        <w:ind w:left="144"/>
      </w:pPr>
      <w:r>
        <w:rPr>
          <w:rFonts w:ascii="Consolas" w:hAnsi="Consolas" w:eastAsia="Microsoft YaHei"/>
          <w:sz w:val="19"/>
        </w:rPr>
        <w:t>CREATE UNIQUE INDEX uq_window_active_ticket</w:t>
        <w:br/>
        <w:t>ON queue_tickets (store_id, window_id)</w:t>
        <w:br/>
        <w:t>WHERE status IN ('CALLED', 'SERVING');</w:t>
      </w:r>
    </w:p>
    <w:p>
      <w:r>
        <w:rPr>
          <w:b w:val="0"/>
        </w:rPr>
        <w:t>用部分唯一索引限制同窗口的 CALLED／SERVING 票最多一张，并以 CHECK 保证这两种状态的 window_id 非空。状态更新同时匹配原状态，冲突则重读；最终由数据库约束兜底。不能用进程内锁解决多进程并发，也不在持锁期间调用模型或 HTTP。暂不采用 SKIP LOCKED 抢票以免误称为严格先到先服务；后续吞吐不足再细化调度范围。</w:t>
      </w:r>
    </w:p>
    <w:p>
      <w:pPr>
        <w:pStyle w:val="Heading2"/>
      </w:pPr>
      <w:r>
        <w:t>10 2 计时口径</w:t>
      </w:r>
    </w:p>
    <w:p>
      <w:r>
        <w:rPr>
          <w:b w:val="0"/>
        </w:rPr>
        <w:t>本轮等待时长 = 服务开始时间 − 最近一次排队时间；累计等待时长汇总各次等待区间。服务时长 = 接待结束 − 服务开始。过号和取消单列，不混入已完成接待平均值；仍在等待的票单独显示当前等待时间。</w:t>
      </w:r>
    </w:p>
    <w:p>
      <w:pPr>
        <w:pStyle w:val="Heading2"/>
      </w:pPr>
      <w:r>
        <w:t>10 3 最小验证</w:t>
      </w:r>
    </w:p>
    <w:p>
      <w:r>
        <w:rPr>
          <w:b w:val="0"/>
        </w:rPr>
        <w:t>同时对同一窗口发两次叫号应返回同一张票；不同窗口同时叫号不能取得同一张票。通过两条独立数据库连接验证冲突，不使用单线程顺序请求冒充并发测试。检查无匹配类别、过号重排、重复结束与人工调整留痕。</w:t>
      </w:r>
    </w:p>
    <w:p>
      <w:pPr>
        <w:pStyle w:val="Heading1"/>
        <w:pageBreakBefore/>
      </w:pPr>
      <w:r>
        <w:t>11 受理状态与确认事务</w:t>
      </w:r>
    </w:p>
    <w:p>
      <w:r>
        <w:rPr>
          <w:b w:val="0"/>
        </w:rPr>
        <w:t>acceptances 表示提交给外部 BOSS Mock 的业务办理。service_sessions 表示接待过程，queue_tickets 表示排队过程；三个状态机独立。页面分别显示“接待已结束”和“办理结果待确认”。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131"/>
        <w:gridCol w:w="7862"/>
      </w:tblGrid>
      <w:tr>
        <w:trPr>
          <w:cantSplit/>
          <w:tblHeader/>
        </w:trPr>
        <w:tc>
          <w:tcPr>
            <w:tcW w:type="dxa" w:w="2131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7862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含义与允许后续动作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DRAFT</w:t>
            </w:r>
          </w:p>
        </w:tc>
        <w:tc>
          <w:tcPr>
            <w:tcW w:type="dxa" w:w="786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草稿，可修改或取消；尚未获得有效确认。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READY</w:t>
            </w:r>
          </w:p>
        </w:tc>
        <w:tc>
          <w:tcPr>
            <w:tcW w:type="dxa" w:w="786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具体推荐候选、最新检查及确认已绑定；可启动提交。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SUBMITTING</w:t>
            </w:r>
          </w:p>
        </w:tc>
        <w:tc>
          <w:tcPr>
            <w:tcW w:type="dxa" w:w="786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请求号和规范化内容已落库，正在尝试外部提交。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SUBMITTED</w:t>
            </w:r>
          </w:p>
        </w:tc>
        <w:tc>
          <w:tcPr>
            <w:tcW w:type="dxa" w:w="786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外部已接单但未办结；只查询状态，不新建请求。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SUCCESS</w:t>
            </w:r>
          </w:p>
        </w:tc>
        <w:tc>
          <w:tcPr>
            <w:tcW w:type="dxa" w:w="786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外部明确成功；保存单号、结果时间及返回快照。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FAILED</w:t>
            </w:r>
          </w:p>
        </w:tc>
        <w:tc>
          <w:tcPr>
            <w:tcW w:type="dxa" w:w="786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外部明确拒绝或失败；保存原因，修正后创建关联的新草稿。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UNKNOWN</w:t>
            </w:r>
          </w:p>
        </w:tc>
        <w:tc>
          <w:tcPr>
            <w:tcW w:type="dxa" w:w="786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超时、断连或进程中断导致结果不明；按原请求号核对。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CANCELLED</w:t>
            </w:r>
          </w:p>
        </w:tc>
        <w:tc>
          <w:tcPr>
            <w:tcW w:type="dxa" w:w="786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仅未进入外部提交的草稿或 READY 可取消；不等于外部撤单。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11 1 确认与提交步骤</w:t>
      </w:r>
    </w:p>
    <w:p>
      <w:r>
        <w:rPr>
          <w:b w:val="0"/>
        </w:rPr>
        <w:t>提交前在事务外查询必要的外部事实，事务 A 再核对该快照与当前版本。不得在持锁时等待 Mock 查询；外部仍可能发生后续变化，最终资格由外部受理确认。</w:t>
      </w:r>
    </w:p>
    <w:p>
      <w:pPr>
        <w:ind w:left="173" w:hanging="173"/>
      </w:pPr>
      <w:r>
        <w:rPr>
          <w:b w:val="0"/>
        </w:rPr>
        <w:t>•  事务 A 锁定受理，校验权限、expected_version、推荐候选、政策和质检摘要；记录人工确认，生成稳定 external_request_id，写入 SUBMITTING 后提交。</w:t>
      </w:r>
    </w:p>
    <w:p>
      <w:pPr>
        <w:ind w:left="173" w:hanging="173"/>
      </w:pPr>
      <w:r>
        <w:rPr>
          <w:b w:val="0"/>
        </w:rPr>
        <w:t>•  事务外调用 Mock。明确成功或受理中则进入相应状态；外部明确拒绝才进入 FAILED；传输层错误进入 UNKNOWN。</w:t>
      </w:r>
    </w:p>
    <w:p>
      <w:pPr>
        <w:ind w:left="173" w:hanging="173"/>
      </w:pPr>
      <w:r>
        <w:rPr>
          <w:b w:val="0"/>
        </w:rPr>
        <w:t>•  事务 B 重新读取并检查当前状态后保存结果，采用状态条件更新防止迟到响应覆盖终态。记录每次尝试与核对事件，重复确认返回原单状态。</w:t>
      </w:r>
    </w:p>
    <w:p>
      <w:pPr>
        <w:pStyle w:val="Heading2"/>
      </w:pPr>
      <w:r>
        <w:t>11 2 失效与竞态</w:t>
      </w:r>
    </w:p>
    <w:p>
      <w:r>
        <w:rPr>
          <w:b w:val="0"/>
        </w:rPr>
        <w:t>修改需求、候选或金额会创建新推荐并使旧确认失效。提交前发现政策过期或外部事实变化时退回待重新核查，不静默替换用户已确认的价格。外部办理成功后不能重新“确认”另一个方案覆盖原单；新业务建立新单并关联来源。</w:t>
      </w:r>
    </w:p>
    <w:p>
      <w:r>
        <w:rPr>
          <w:b w:val="0"/>
        </w:rPr>
        <w:t>第一阶段不实现跨系统回滚或外部撤单；也不能通过删除本地记录伪造撤销。第二三阶段需要撤单时新增明确的外部能力和补偿流程。</w:t>
      </w:r>
    </w:p>
    <w:p>
      <w:pPr>
        <w:pStyle w:val="Heading1"/>
        <w:pageBreakBefore/>
      </w:pPr>
      <w:r>
        <w:t>12 BOSS Mock 协议与结果未知</w:t>
      </w:r>
    </w:p>
    <w:p>
      <w:r>
        <w:rPr>
          <w:b w:val="0"/>
        </w:rPr>
        <w:t>Mock 与主系统同仓库、独立 HTTP 进程。可共用 PostgreSQL 实例，但使用独立 schema 和专用数据库角色；主应用账号无权读取 Mock 业务表。仅模拟协议与失败情景，不宣称连接真实运营商。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3658"/>
        <w:gridCol w:w="3326"/>
        <w:gridCol w:w="3010"/>
      </w:tblGrid>
      <w:tr>
        <w:trPr>
          <w:cantSplit/>
          <w:tblHeader/>
        </w:trPr>
        <w:tc>
          <w:tcPr>
            <w:tcW w:type="dxa" w:w="3658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Mock 接口</w:t>
            </w:r>
          </w:p>
        </w:tc>
        <w:tc>
          <w:tcPr>
            <w:tcW w:type="dxa" w:w="3326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合同</w:t>
            </w:r>
          </w:p>
        </w:tc>
        <w:tc>
          <w:tcPr>
            <w:tcW w:type="dxa" w:w="3010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可控情景</w:t>
            </w:r>
          </w:p>
        </w:tc>
      </w:tr>
      <w:tr>
        <w:trPr>
          <w:cantSplit/>
        </w:trPr>
        <w:tc>
          <w:tcPr>
            <w:tcW w:type="dxa" w:w="365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POST /mock/v1/account-query</w:t>
            </w:r>
          </w:p>
        </w:tc>
        <w:tc>
          <w:tcPr>
            <w:tcW w:type="dxa" w:w="332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账号类型和号码；返回存在性、套餐、合约、费用、来源时间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正常、未找到、部分字段缺失、超时。</w:t>
            </w:r>
          </w:p>
        </w:tc>
      </w:tr>
      <w:tr>
        <w:trPr>
          <w:cantSplit/>
        </w:trPr>
        <w:tc>
          <w:tcPr>
            <w:tcW w:type="dxa" w:w="365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POST /mock/v1/acceptances</w:t>
            </w:r>
          </w:p>
        </w:tc>
        <w:tc>
          <w:tcPr>
            <w:tcW w:type="dxa" w:w="332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external_request_id、账号、政策版本、办理内容与摘要</w:t>
            </w:r>
          </w:p>
        </w:tc>
        <w:tc>
          <w:tcPr>
            <w:tcW w:type="dxa" w:w="301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成功、受理中、业务拒绝、服务已受理但响应超时。</w:t>
            </w:r>
          </w:p>
        </w:tc>
      </w:tr>
      <w:tr>
        <w:trPr>
          <w:cantSplit/>
        </w:trPr>
        <w:tc>
          <w:tcPr>
            <w:tcW w:type="dxa" w:w="365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GET /mock/v1/acceptances/by-request/{id}</w:t>
            </w:r>
          </w:p>
        </w:tc>
        <w:tc>
          <w:tcPr>
            <w:tcW w:type="dxa" w:w="332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返回 NOT_FOUND 或同一请求对应的外部单及当前状态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处理中、成功、失败、暂时不可查。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12 1 Mock 的幂等必须真实实现</w:t>
      </w:r>
    </w:p>
    <w:p>
      <w:r>
        <w:rPr>
          <w:b w:val="0"/>
        </w:rPr>
        <w:t>Mock 以 external_request_id 为唯一键，在事务中保存请求摘要和受理结果。同键同内容始终返回同一业务单，同键不同内容返回冲突。主系统重试不能换一个请求号；否则演示中的“不会重复办理”没有技术依据。</w:t>
      </w:r>
    </w:p>
    <w:p>
      <w:pPr>
        <w:pStyle w:val="Heading2"/>
      </w:pPr>
      <w:r>
        <w:t>12 2 超时后的核对顺序</w:t>
      </w:r>
    </w:p>
    <w:p>
      <w:pPr>
        <w:keepLines/>
        <w:spacing w:line="260" w:lineRule="exact" w:before="40" w:after="140"/>
        <w:ind w:left="144"/>
      </w:pPr>
      <w:r>
        <w:rPr>
          <w:rFonts w:ascii="Consolas" w:hAnsi="Consolas" w:eastAsia="Microsoft YaHei"/>
          <w:sz w:val="19"/>
        </w:rPr>
        <w:t>UNKNOWN 或长期 SUBMITTING</w:t>
        <w:br/>
        <w:t xml:space="preserve">  → 按原 external_request_id 查询</w:t>
        <w:br/>
        <w:t xml:space="preserve">  → 找到结果：更新本地状态</w:t>
        <w:br/>
        <w:t xml:space="preserve">  → 查不到：保留未知并允许原键原内容重试</w:t>
        <w:br/>
        <w:t xml:space="preserve">  → 查询失败：记录失败，保持可再次核对</w:t>
      </w:r>
    </w:p>
    <w:p>
      <w:r>
        <w:rPr>
          <w:b w:val="0"/>
        </w:rPr>
        <w:t>NOT_FOUND 不单独证明此前请求绝对未执行：可能存在延迟与并发。是否可重试取决于对端幂等合同。本 Demo 的 Mock 明确提供该合同，因此只允许沿用原键原内容重试；将来接真实系统时必须重新验证这一前提。</w:t>
      </w:r>
    </w:p>
    <w:p>
      <w:pPr>
        <w:pStyle w:val="Heading2"/>
      </w:pPr>
      <w:r>
        <w:t>12 3 必测断点</w:t>
      </w:r>
    </w:p>
    <w:p>
      <w:pPr>
        <w:ind w:left="173" w:hanging="173"/>
      </w:pPr>
      <w:r>
        <w:rPr>
          <w:b w:val="0"/>
        </w:rPr>
        <w:t>•  Mock 已保存成功结果但主系统收到超时：本地先 UNKNOWN，核对后 SUCCESS，外部业务单数量仍为一。</w:t>
      </w:r>
    </w:p>
    <w:p>
      <w:pPr>
        <w:ind w:left="173" w:hanging="173"/>
      </w:pPr>
      <w:r>
        <w:rPr>
          <w:b w:val="0"/>
        </w:rPr>
        <w:t>•  主系统在保存 SUBMITTING 后退出：重启后根据原请求号核对，不创建新请求号；尚未执行的请求可按相同内容补发。</w:t>
      </w:r>
    </w:p>
    <w:p>
      <w:pPr>
        <w:ind w:left="173" w:hanging="173"/>
      </w:pPr>
      <w:r>
        <w:rPr>
          <w:b w:val="0"/>
        </w:rPr>
        <w:t>•  迟到的失败响应不能把已核对为 SUCCESS 的单改成 FAILED；重复查询不得重复生成提成、库存或其他后续记录。</w:t>
      </w:r>
    </w:p>
    <w:p>
      <w:r>
        <w:rPr>
          <w:b w:val="0"/>
        </w:rPr>
        <w:t>场景控制通过测试夹具或受限的演示管理配置提供，不让公共客户页面携带任意 Mock 控制指令。</w:t>
      </w:r>
    </w:p>
    <w:p>
      <w:pPr>
        <w:pStyle w:val="Heading1"/>
        <w:pageBreakBefore/>
      </w:pPr>
      <w:r>
        <w:t>13 满意度与后台改进闭环</w:t>
      </w:r>
    </w:p>
    <w:p>
      <w:pPr>
        <w:pStyle w:val="Heading2"/>
      </w:pPr>
      <w:r>
        <w:t>13 1 评价必须属于具体服务</w:t>
      </w:r>
    </w:p>
    <w:p>
      <w:r>
        <w:rPr>
          <w:b w:val="0"/>
        </w:rPr>
        <w:t>服务结束后生成与 service_id 绑定的随机评价令牌，默认有效 24 小时、一次提交。数据库保存令牌摘要，评价表对 service_id 唯一；同一次提交重试返回已有结果，不同内容的重复评价返回冲突。令牌到期及已评价均返回明确提示。</w:t>
      </w:r>
    </w:p>
    <w:p>
      <w:r>
        <w:rPr>
          <w:b w:val="0"/>
        </w:rPr>
        <w:t>评价字段包含 1—5 分总体评分、等待时间／解释清晰度／问题解决／办理体验标签以及可选意见。不要求客户输入号码重新查询资料；不向评价页面返回完整账号信息。未评价不是零分，客户评分与系统质检结果分别统计。</w:t>
      </w:r>
    </w:p>
    <w:p>
      <w:pPr>
        <w:pStyle w:val="Heading2"/>
      </w:pPr>
      <w:r>
        <w:t>13 2 统计指标与 AI 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901"/>
        <w:gridCol w:w="4018"/>
        <w:gridCol w:w="4075"/>
      </w:tblGrid>
      <w:tr>
        <w:trPr>
          <w:cantSplit/>
          <w:tblHeader/>
        </w:trPr>
        <w:tc>
          <w:tcPr>
            <w:tcW w:type="dxa" w:w="1901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4018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计算口径</w:t>
            </w:r>
          </w:p>
        </w:tc>
        <w:tc>
          <w:tcPr>
            <w:tcW w:type="dxa" w:w="4075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展示要求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评价参与率</w:t>
            </w:r>
          </w:p>
        </w:tc>
        <w:tc>
          <w:tcPr>
            <w:tcW w:type="dxa" w:w="401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有效评价数 ÷ 已完成且符合评价条件的服务数</w:t>
            </w:r>
          </w:p>
        </w:tc>
        <w:tc>
          <w:tcPr>
            <w:tcW w:type="dxa" w:w="407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分子分母、时间窗口、门店和业务类别；分母为零显示不适用。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平均满意度</w:t>
            </w:r>
          </w:p>
        </w:tc>
        <w:tc>
          <w:tcPr>
            <w:tcW w:type="dxa" w:w="401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有效评分之和 ÷ 有效评价数</w:t>
            </w:r>
          </w:p>
        </w:tc>
        <w:tc>
          <w:tcPr>
            <w:tcW w:type="dxa" w:w="407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同时展示样本量与评分分布；缺失值不补分。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等待与服务时长</w:t>
            </w:r>
          </w:p>
        </w:tc>
        <w:tc>
          <w:tcPr>
            <w:tcW w:type="dxa" w:w="401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按第 10 章时间字段计算中位数及高分位</w:t>
            </w:r>
          </w:p>
        </w:tc>
        <w:tc>
          <w:tcPr>
            <w:tcW w:type="dxa" w:w="407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样本少时标记样本不足；取消与过号单列。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质检问题率</w:t>
            </w:r>
          </w:p>
        </w:tc>
        <w:tc>
          <w:tcPr>
            <w:tcW w:type="dxa" w:w="401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存在确认问题的已检查对象 ÷ 已检查对象数</w:t>
            </w:r>
          </w:p>
        </w:tc>
        <w:tc>
          <w:tcPr>
            <w:tcW w:type="dxa" w:w="407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只描述检查范围，不外推全部服务。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13 3 改进任务的最小流程</w:t>
      </w:r>
    </w:p>
    <w:p>
      <w:r>
        <w:rPr>
          <w:b w:val="0"/>
        </w:rPr>
        <w:t>后端用固定查询生成统计快照，包含筛选条件、分母、数据截止时间和可追溯样例。AI 输出“现象、可能原因、证据、建议动作、验证方式”；缺乏证据时提出核查需求，不能把低分直接归因于某个员工。</w:t>
      </w:r>
    </w:p>
    <w:p>
      <w:r>
        <w:rPr>
          <w:b w:val="0"/>
        </w:rPr>
        <w:t>任务状态为 PROPOSED → APPROVED → IN_PROGRESS → VERIFIED → CLOSED，也可 REJECTED。负责人、计划和目标由店长确认；AI 不能指派、关闭任务或回写评分。验证记录保留前后时间窗口、样本量、同期条件变化与未解决问题。</w:t>
      </w:r>
    </w:p>
    <w:p>
      <w:pPr>
        <w:pStyle w:val="Heading2"/>
      </w:pPr>
      <w:r>
        <w:t>13 4 验收示例</w:t>
      </w:r>
    </w:p>
    <w:p>
      <w:r>
        <w:rPr>
          <w:b w:val="0"/>
        </w:rPr>
        <w:t>“套餐变更解释不清”集中出现时，先定位相关评价与质检记录，提出补充合约说明模板的建议；店长审核后形成任务，发布新提示词版本，再用固定用例核查遗漏是否减少及误报是否增加。结果未改善也如实保存。</w:t>
      </w:r>
    </w:p>
    <w:p>
      <w:pPr>
        <w:pStyle w:val="Heading1"/>
        <w:pageBreakBefore/>
      </w:pPr>
      <w:r>
        <w:t>14 权限与数据保护的实施边界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757"/>
        <w:gridCol w:w="4118"/>
        <w:gridCol w:w="4118"/>
      </w:tblGrid>
      <w:tr>
        <w:trPr>
          <w:cantSplit/>
          <w:tblHeader/>
        </w:trPr>
        <w:tc>
          <w:tcPr>
            <w:tcW w:type="dxa" w:w="1757"/>
            <w:vAlign w:val="center"/>
            <w:shd w:fill="17365D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角色或入口</w:t>
            </w:r>
          </w:p>
        </w:tc>
        <w:tc>
          <w:tcPr>
            <w:tcW w:type="dxa" w:w="4118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允许操作</w:t>
            </w:r>
          </w:p>
        </w:tc>
        <w:tc>
          <w:tcPr>
            <w:tcW w:type="dxa" w:w="4118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后端限制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客户与公共屏</w:t>
            </w:r>
          </w:p>
        </w:tc>
        <w:tc>
          <w:tcPr>
            <w:tcW w:type="dxa" w:w="411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取号、查看公共叫号、凭令牌评价</w:t>
            </w:r>
          </w:p>
        </w:tc>
        <w:tc>
          <w:tcPr>
            <w:tcW w:type="dxa" w:w="411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独立公共 DTO；不通过隐藏列来遮掩已返回的账号数据。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店员</w:t>
            </w:r>
          </w:p>
        </w:tc>
        <w:tc>
          <w:tcPr>
            <w:tcW w:type="dxa" w:w="411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本店接待、账号查询、复核建议、提交受理</w:t>
            </w:r>
          </w:p>
        </w:tc>
        <w:tc>
          <w:tcPr>
            <w:tcW w:type="dxa" w:w="411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验证登录、门店、资源归属、允许状态和具体业务动作。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店长</w:t>
            </w:r>
          </w:p>
        </w:tc>
        <w:tc>
          <w:tcPr>
            <w:tcW w:type="dxa" w:w="411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本店统计、质检复核、改进任务、窗口调整</w:t>
            </w:r>
          </w:p>
        </w:tc>
        <w:tc>
          <w:tcPr>
            <w:tcW w:type="dxa" w:w="411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调整理由、关键确认和政策使用都有事件记录。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管理员</w:t>
            </w:r>
          </w:p>
        </w:tc>
        <w:tc>
          <w:tcPr>
            <w:tcW w:type="dxa" w:w="411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资料发布、账号角色、场景配置</w:t>
            </w:r>
          </w:p>
        </w:tc>
        <w:tc>
          <w:tcPr>
            <w:tcW w:type="dxa" w:w="411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不能用配置绕过业务硬规则；凭证不显示在页面中。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14 1 登录会话</w:t>
      </w:r>
    </w:p>
    <w:p>
      <w:r>
        <w:rPr>
          <w:b w:val="0"/>
        </w:rPr>
        <w:t>第一阶段采用服务端会话：登录后生成高熵随机令牌，数据库仅保存摘要及有效期，浏览器保存 HttpOnly Cookie；HTTPS 环境启用 Secure，采用明确的 SameSite 策略，退出或停用用户即撤销会话。演示默认会话 8 小时，过期要求重新登录。密码采用成熟库的 Argon2 实现，不自行设计哈希算法。[S12][S15]</w:t>
      </w:r>
    </w:p>
    <w:p>
      <w:r>
        <w:rPr>
          <w:b w:val="0"/>
        </w:rPr>
        <w:t>写请求校验 CSRF 令牌和来源；SameSite 作为补充而非唯一防护。开发时 Vite 代理 /api，部署时前端与 API 同源；若确需跨域，显式列出允许来源，不使用带凭证的任意来源配置。[S13]</w:t>
      </w:r>
    </w:p>
    <w:p>
      <w:pPr>
        <w:pStyle w:val="Heading2"/>
      </w:pPr>
      <w:r>
        <w:t>14 2 最小数据暴露</w:t>
      </w:r>
    </w:p>
    <w:p>
      <w:pPr>
        <w:ind w:left="173" w:hanging="173"/>
      </w:pPr>
      <w:r>
        <w:rPr>
          <w:b w:val="0"/>
        </w:rPr>
        <w:t>•  模型输入仅包含分析所需事实和脱敏标识；前端 JavaScript、公共响应、异常堆栈、请求日志都不能暴露模型密钥、完整会话令牌和评价令牌。</w:t>
      </w:r>
    </w:p>
    <w:p>
      <w:pPr>
        <w:ind w:left="173" w:hanging="173"/>
      </w:pPr>
      <w:r>
        <w:rPr>
          <w:b w:val="0"/>
        </w:rPr>
        <w:t>•  按号码查询限定在登录店员工作台，记录查询人与服务用途；公共屏只返回票号、类别、窗口和更新时间。</w:t>
      </w:r>
    </w:p>
    <w:p>
      <w:pPr>
        <w:ind w:left="173" w:hanging="173"/>
      </w:pPr>
      <w:r>
        <w:rPr>
          <w:b w:val="0"/>
        </w:rPr>
        <w:t>•  调用模型的文本、导入的 GEO 回答和外部资料不作为系统指令；不允许根据这些文本扩大查询范围或调用写工具。</w:t>
      </w:r>
    </w:p>
    <w:p>
      <w:pPr>
        <w:pStyle w:val="Heading2"/>
      </w:pPr>
      <w:r>
        <w:t>14 3 第一阶段必须验证</w:t>
      </w:r>
    </w:p>
    <w:p>
      <w:r>
        <w:rPr>
          <w:b w:val="0"/>
        </w:rPr>
        <w:t>未登录不能查客户；A 店用户不能通过更换 URL 标识访问 B 店服务；同门店也不能执行未获授权的管理动作。检查实际响应体而非仅截图，确认公共 DTO 中不存在号码、套餐和评价文本。</w:t>
      </w:r>
    </w:p>
    <w:p>
      <w:r>
        <w:rPr>
          <w:b w:val="0"/>
        </w:rPr>
        <w:t>当前仅用模拟数据。若引入真实个人资料，需要单独明确授权、保存期限、删除机制及部署要求；不得把本 Demo 的默认值表述为已经满足实际生产合规要求。</w:t>
      </w:r>
    </w:p>
    <w:p>
      <w:pPr>
        <w:pStyle w:val="Heading1"/>
        <w:pageBreakBefore/>
      </w:pPr>
      <w:r>
        <w:t>15 测试分层与 AI 评测口径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814"/>
        <w:gridCol w:w="4464"/>
        <w:gridCol w:w="3715"/>
      </w:tblGrid>
      <w:tr>
        <w:trPr>
          <w:cantSplit/>
          <w:tblHeader/>
        </w:trPr>
        <w:tc>
          <w:tcPr>
            <w:tcW w:type="dxa" w:w="1814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验证层</w:t>
            </w:r>
          </w:p>
        </w:tc>
        <w:tc>
          <w:tcPr>
            <w:tcW w:type="dxa" w:w="4464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最小有意义的案例</w:t>
            </w:r>
          </w:p>
        </w:tc>
        <w:tc>
          <w:tcPr>
            <w:tcW w:type="dxa" w:w="3715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施工要求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纯业务规则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金额、优惠到期、合约边界、未知资格、方案保留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固定输入与预期，使用 Decimal 和固定业务日期。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数据库与状态</w:t>
            </w:r>
          </w:p>
        </w:tc>
        <w:tc>
          <w:tcPr>
            <w:tcW w:type="dxa" w:w="4464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重复受理键、并发叫号、跨店关联、确认失效、迟到结果</w:t>
            </w:r>
          </w:p>
        </w:tc>
        <w:tc>
          <w:tcPr>
            <w:tcW w:type="dxa" w:w="371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使用测试 PostgreSQL；不能用 SQLite 代替锁和约束验收。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外部协议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已成功但响应超时、NOT_FOUND、相同键不同内容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Mock 契约与主系统恢复链路一起验证。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权限与页面</w:t>
            </w:r>
          </w:p>
        </w:tc>
        <w:tc>
          <w:tcPr>
            <w:tcW w:type="dxa" w:w="4464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越权、公共字段、关键按钮与状态提示</w:t>
            </w:r>
          </w:p>
        </w:tc>
        <w:tc>
          <w:tcPr>
            <w:tcW w:type="dxa" w:w="371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少量 API 权限测试和两三条关键 Playwright 流程。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AI 场景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结构错误、伪造候选 ID、缺少证据、模型不可用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默认使用固定模型返回夹具；联网评测独立执行。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15 1 用例集与隔离</w:t>
      </w:r>
    </w:p>
    <w:p>
      <w:r>
        <w:rPr>
          <w:b w:val="0"/>
        </w:rPr>
        <w:t>第一版准备约 30 条人工核对用例，建议 20 条开发集、10 条保留集；覆盖正确、错误、条件遗漏、资料不足以及不同服务意图。为每条用例写清输入事实、应发现的问题及不应出现的结论。保留集不参与逐条提示词调试，暴露后应记录并补充新的保留案例。</w:t>
      </w:r>
    </w:p>
    <w:p>
      <w:pPr>
        <w:pStyle w:val="Heading2"/>
      </w:pPr>
      <w:r>
        <w:t>15 2 统计不能只写一个准确率</w:t>
      </w:r>
    </w:p>
    <w:p>
      <w:r>
        <w:rPr>
          <w:b w:val="0"/>
        </w:rPr>
        <w:t>以问题级标签统计 TP、FP、FN；误报率明确为 FP／(FP＋TN)，漏报率为 FN／(TP＋FN)。若用例不具备可数的 TN，就改报精确率 TP／(TP＋FP)、召回率 TP／(TP＋FN) 和误报条数，不伪造分母。零分母显示不适用。</w:t>
      </w:r>
    </w:p>
    <w:p>
      <w:r>
        <w:rPr>
          <w:b w:val="0"/>
        </w:rPr>
        <w:t>同时报告结构化输出成功率、证据有效率、人工复核结论、失败类型、端到端耗时中位数与高分位。Token 与费用只有提供方返回或能按已核实价格计算时才填，其他记未知。样本较小，不能把波动包装成稳定效果。</w:t>
      </w:r>
    </w:p>
    <w:p>
      <w:pPr>
        <w:pStyle w:val="Heading2"/>
      </w:pPr>
      <w:r>
        <w:t>15 3 版本比较</w:t>
      </w:r>
    </w:p>
    <w:p>
      <w:r>
        <w:rPr>
          <w:b w:val="0"/>
        </w:rPr>
        <w:t>V1 与 V2 使用同一输入快照、规则基线和运行设置；记录模型实际标识、提示词版本及运行日期。先看原问题是否修复，再看是否新增误报和时延。模型有随机性时说明运行次数，不能只挑最好一轮。</w:t>
      </w:r>
    </w:p>
    <w:p>
      <w:pPr>
        <w:pStyle w:val="Heading2"/>
      </w:pPr>
      <w:r>
        <w:t>15 4 阶段交付证据</w:t>
      </w:r>
    </w:p>
    <w:p>
      <w:r>
        <w:rPr>
          <w:b w:val="0"/>
        </w:rPr>
        <w:t>交付测试命令和退出结果、用例集版本、失败案例、前后对比报告及操作说明。文档中的上述数字是规划规模，不是已经获得的实测成绩。</w:t>
      </w:r>
    </w:p>
    <w:p>
      <w:pPr>
        <w:pStyle w:val="Heading1"/>
        <w:pageBreakBefore/>
      </w:pPr>
      <w:r>
        <w:t>16 开发环境与交付部署</w:t>
      </w:r>
    </w:p>
    <w:p>
      <w:pPr>
        <w:pStyle w:val="Heading2"/>
      </w:pPr>
      <w:r>
        <w:t>16 1 M0 建立的启动约定</w:t>
      </w:r>
    </w:p>
    <w:p>
      <w:r>
        <w:rPr>
          <w:b w:val="0"/>
        </w:rPr>
        <w:t>本节命令在对应脚手架与依赖文件创建后才能执行。前端固定包管理器并提交锁文件；Python 用 pyproject.toml 声明直接依赖，提交可复现的 requirements.lock，并记录生成方式和 Python 小版本。前后端不得使用浮动 latest 作为交付基线。</w:t>
      </w:r>
    </w:p>
    <w:p>
      <w:pPr>
        <w:keepLines/>
        <w:spacing w:line="260" w:lineRule="exact" w:before="40" w:after="140"/>
        <w:ind w:left="144"/>
      </w:pPr>
      <w:r>
        <w:rPr>
          <w:rFonts w:ascii="Consolas" w:hAnsi="Consolas" w:eastAsia="Microsoft YaHei"/>
          <w:sz w:val="19"/>
        </w:rPr>
        <w:t>前端  npm ci  →  npm run dev</w:t>
        <w:br/>
        <w:t>后端  python -m uvicorn app.main:app --reload</w:t>
        <w:br/>
        <w:t>Mock  python -m uvicorn app.main:app --port 8001</w:t>
        <w:br/>
        <w:t>迁移  python -m alembic upgrade head</w:t>
        <w:br/>
        <w:t>验证  python -m pytest &lt;本次相关测试路径&gt;</w:t>
      </w:r>
    </w:p>
    <w:p>
      <w:r>
        <w:rPr>
          <w:b w:val="0"/>
        </w:rPr>
        <w:t>后端和 Mock 分别在自己的目录或明确的模块路径下启动，避免 app.main 同名导入错误。提供 .env.example，只列变量名与无敏感信息的示例；密钥和真实连接信息不提交 Git。</w:t>
      </w:r>
    </w:p>
    <w:p>
      <w:pPr>
        <w:pStyle w:val="Heading2"/>
      </w:pPr>
      <w:r>
        <w:t>16 2 演示环境的组成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016"/>
        <w:gridCol w:w="4046"/>
        <w:gridCol w:w="3931"/>
      </w:tblGrid>
      <w:tr>
        <w:trPr>
          <w:cantSplit/>
          <w:tblHeader/>
        </w:trPr>
        <w:tc>
          <w:tcPr>
            <w:tcW w:type="dxa" w:w="2016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组件</w:t>
            </w:r>
          </w:p>
        </w:tc>
        <w:tc>
          <w:tcPr>
            <w:tcW w:type="dxa" w:w="4046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启动与健康检查</w:t>
            </w:r>
          </w:p>
        </w:tc>
        <w:tc>
          <w:tcPr>
            <w:tcW w:type="dxa" w:w="3931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约束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PostgreSQL</w:t>
            </w:r>
          </w:p>
        </w:tc>
        <w:tc>
          <w:tcPr>
            <w:tcW w:type="dxa" w:w="404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数据库 ready 后再迁移</w:t>
            </w:r>
          </w:p>
        </w:tc>
        <w:tc>
          <w:tcPr>
            <w:tcW w:type="dxa" w:w="3931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主应用与 Mock 分别使用受限账号与 schema。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迁移与种子</w:t>
            </w:r>
          </w:p>
        </w:tc>
        <w:tc>
          <w:tcPr>
            <w:tcW w:type="dxa" w:w="404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迁移成功后再启动业务；种子用明确命令执行</w:t>
            </w:r>
          </w:p>
        </w:tc>
        <w:tc>
          <w:tcPr>
            <w:tcW w:type="dxa" w:w="3931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种子仅开发演示环境可用；重置不得默认作用于任意数据库。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FastAPI 与 Mock</w:t>
            </w:r>
          </w:p>
        </w:tc>
        <w:tc>
          <w:tcPr>
            <w:tcW w:type="dxa" w:w="404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分别检查进程存活和必要依赖可用</w:t>
            </w:r>
          </w:p>
        </w:tc>
        <w:tc>
          <w:tcPr>
            <w:tcW w:type="dxa" w:w="3931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健康检查不调用收费模型；模型失败不使业务查询全部不可用。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前端静态服务</w:t>
            </w:r>
          </w:p>
        </w:tc>
        <w:tc>
          <w:tcPr>
            <w:tcW w:type="dxa" w:w="404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反向代理 /api 到后端</w:t>
            </w:r>
          </w:p>
        </w:tc>
        <w:tc>
          <w:tcPr>
            <w:tcW w:type="dxa" w:w="3931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演示环境同源，清楚标注模拟数据与版本。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r>
        <w:rPr>
          <w:b w:val="0"/>
        </w:rPr>
        <w:t>Compose 使用数据库 service_healthy 和迁移 service_completed_successfully 控制依赖，不能只依赖容器已启动。首次初始化与后续升级要分开处理；迁移失败即停止业务启动。[S14]</w:t>
      </w:r>
    </w:p>
    <w:p>
      <w:pPr>
        <w:pStyle w:val="Heading2"/>
      </w:pPr>
      <w:r>
        <w:t>16 3 数据迁移与恢复</w:t>
      </w:r>
    </w:p>
    <w:p>
      <w:r>
        <w:rPr>
          <w:b w:val="0"/>
        </w:rPr>
        <w:t>Alembic 自动生成只是候选脚本，必须人工检查重命名、约束与数据变更。常用流程为新增兼容字段 → 回填 → 验证 → 收紧约束；删除旧字段安排在依赖已移除后。至少验证空库初始化和上一阶段数据升级，不使用应用启动时 create_all 代替迁移。[S06]</w:t>
      </w:r>
    </w:p>
    <w:p>
      <w:r>
        <w:rPr>
          <w:b w:val="0"/>
        </w:rPr>
        <w:t>破坏性迁移先备份并说明恢复路径；已写入新格式的数据不能假设 downgrade 必定无损。演示版提供一次备份与恢复验证；外部受理结果恢复后仍要按请求号核对，不能仅凭本地旧快照判断。</w:t>
      </w:r>
    </w:p>
    <w:p>
      <w:pPr>
        <w:pStyle w:val="Heading1"/>
        <w:pageBreakBefore/>
      </w:pPr>
      <w:r>
        <w:t>17 施工包与完成标准</w:t>
      </w:r>
    </w:p>
    <w:p>
      <w:r>
        <w:rPr>
          <w:b w:val="0"/>
        </w:rPr>
        <w:t>沿用第一阶段约 6—8 周、每周 20 小时的规划，合计 120—160 小时。下表是单人开发工作量预算，未含第三方等待和新增需求；按验收结果推进，不以页面看起来完成作为里程碑。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930"/>
        <w:gridCol w:w="3989"/>
        <w:gridCol w:w="4075"/>
      </w:tblGrid>
      <w:tr>
        <w:trPr>
          <w:cantSplit/>
          <w:tblHeader/>
        </w:trPr>
        <w:tc>
          <w:tcPr>
            <w:tcW w:type="dxa" w:w="1930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施工包与预算</w:t>
            </w:r>
          </w:p>
        </w:tc>
        <w:tc>
          <w:tcPr>
            <w:tcW w:type="dxa" w:w="3989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具体产物</w:t>
            </w:r>
          </w:p>
        </w:tc>
        <w:tc>
          <w:tcPr>
            <w:tcW w:type="dxa" w:w="4075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进入下一包前的验证</w:t>
            </w:r>
          </w:p>
        </w:tc>
      </w:tr>
      <w:tr>
        <w:trPr>
          <w:cantSplit/>
        </w:trPr>
        <w:tc>
          <w:tcPr>
            <w:tcW w:type="dxa" w:w="193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M0 基础</w:t>
              <w:br/>
              <w:t>12—16 小时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前后端与 Mock 最小工程、数据库迁移、登录、健康检查、版本锁定</w:t>
            </w:r>
          </w:p>
        </w:tc>
        <w:tc>
          <w:tcPr>
            <w:tcW w:type="dxa" w:w="407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干净环境启动；一次账号查询和结构化模型探针可运行。</w:t>
            </w:r>
          </w:p>
        </w:tc>
      </w:tr>
      <w:tr>
        <w:trPr>
          <w:cantSplit/>
        </w:trPr>
        <w:tc>
          <w:tcPr>
            <w:tcW w:type="dxa" w:w="193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M1 核心服务</w:t>
              <w:br/>
              <w:t>32—40 小时</w:t>
            </w:r>
          </w:p>
        </w:tc>
        <w:tc>
          <w:tcPr>
            <w:tcW w:type="dxa" w:w="398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资料版本、账号快照、服务记录、需求与规则推荐、质检和确认</w:t>
            </w:r>
          </w:p>
        </w:tc>
        <w:tc>
          <w:tcPr>
            <w:tcW w:type="dxa" w:w="407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正确／错误／未知三条核心流程；模型关闭时人工流程可用。</w:t>
            </w:r>
          </w:p>
        </w:tc>
      </w:tr>
      <w:tr>
        <w:trPr>
          <w:cantSplit/>
        </w:trPr>
        <w:tc>
          <w:tcPr>
            <w:tcW w:type="dxa" w:w="193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M2 排队受理</w:t>
              <w:br/>
              <w:t>28—36 小时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窗口队列、受理状态、幂等 Mock、核对恢复、评价</w:t>
            </w:r>
          </w:p>
        </w:tc>
        <w:tc>
          <w:tcPr>
            <w:tcW w:type="dxa" w:w="407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并发叫号不重复；已成功但超时不重复办理；评价关联正确。</w:t>
            </w:r>
          </w:p>
        </w:tc>
      </w:tr>
      <w:tr>
        <w:trPr>
          <w:cantSplit/>
        </w:trPr>
        <w:tc>
          <w:tcPr>
            <w:tcW w:type="dxa" w:w="193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M3 复盘评测</w:t>
              <w:br/>
              <w:t>20—28 小时</w:t>
            </w:r>
          </w:p>
        </w:tc>
        <w:tc>
          <w:tcPr>
            <w:tcW w:type="dxa" w:w="398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统计快照、改进任务、提示词版本、约 30 条用例及报告</w:t>
            </w:r>
          </w:p>
        </w:tc>
        <w:tc>
          <w:tcPr>
            <w:tcW w:type="dxa" w:w="407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至少一次实测问题修复；保留集结果独立呈现。</w:t>
            </w:r>
          </w:p>
        </w:tc>
      </w:tr>
      <w:tr>
        <w:trPr>
          <w:cantSplit/>
        </w:trPr>
        <w:tc>
          <w:tcPr>
            <w:tcW w:type="dxa" w:w="193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M4 交付</w:t>
              <w:br/>
              <w:t>12—16 小时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演示种子、Compose、迁移升级、操作文档与演示脚本</w:t>
            </w:r>
          </w:p>
        </w:tc>
        <w:tc>
          <w:tcPr>
            <w:tcW w:type="dxa" w:w="407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从新环境完整演示；数据重置与恢复有边界。</w:t>
            </w:r>
          </w:p>
        </w:tc>
      </w:tr>
      <w:tr>
        <w:trPr>
          <w:cantSplit/>
        </w:trPr>
        <w:tc>
          <w:tcPr>
            <w:tcW w:type="dxa" w:w="193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风险余量</w:t>
              <w:br/>
              <w:t>16—24 小时</w:t>
            </w:r>
          </w:p>
        </w:tc>
        <w:tc>
          <w:tcPr>
            <w:tcW w:type="dxa" w:w="398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联调、模型适配、版本兼容与缺陷修复</w:t>
            </w:r>
          </w:p>
        </w:tc>
        <w:tc>
          <w:tcPr>
            <w:tcW w:type="dxa" w:w="407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总量 120—160h；不足时重新评估范围，不捏造完成情况。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17 1 首个施工任务</w:t>
      </w:r>
    </w:p>
    <w:p>
      <w:r>
        <w:rPr>
          <w:b w:val="0"/>
        </w:rPr>
        <w:t>先落实目录、配置、数据连接、迁移、登录与账号查询 Mock，再做一个能看到来源与更新时间的店员查询页面。此时不做完整大屏、对话记忆、复杂推荐排序或综合经营看板。首个任务完成后已有可运行的骨架与一条真实接口链。</w:t>
      </w:r>
    </w:p>
    <w:p>
      <w:pPr>
        <w:pStyle w:val="Heading2"/>
      </w:pPr>
      <w:r>
        <w:t>17 2 每包必须交付</w:t>
      </w:r>
    </w:p>
    <w:p>
      <w:pPr>
        <w:ind w:left="173" w:hanging="173"/>
      </w:pPr>
      <w:r>
        <w:rPr>
          <w:b w:val="0"/>
        </w:rPr>
        <w:t>•  实现说明、涉及文件、接口和数据库变化、最小验证结果，以及已知限制；真实失败记录不能从交付说明中删掉。</w:t>
      </w:r>
    </w:p>
    <w:p>
      <w:pPr>
        <w:ind w:left="173" w:hanging="173"/>
      </w:pPr>
      <w:r>
        <w:rPr>
          <w:b w:val="0"/>
        </w:rPr>
        <w:t>•  任何新增依赖、公共协议或状态修改都说明必要性与受影响范围；跨模块改动先列清楚调用方，再施工。</w:t>
      </w:r>
    </w:p>
    <w:p>
      <w:pPr>
        <w:pStyle w:val="Heading2"/>
      </w:pPr>
      <w:r>
        <w:t>17 3 超出预算时的处理</w:t>
      </w:r>
    </w:p>
    <w:p>
      <w:r>
        <w:rPr>
          <w:b w:val="0"/>
        </w:rPr>
        <w:t>优先压缩视觉装饰、统计维度和自动化采集，保留事实来源、确认校验、幂等、权限及未知状态处理。第一阶段必须包含用户提出的排队、推荐、评价和后台改进闭环，不得悄悄退回只有聊天框的演示。</w:t>
      </w:r>
    </w:p>
    <w:p>
      <w:pPr>
        <w:pStyle w:val="Heading1"/>
        <w:pageBreakBefore/>
      </w:pPr>
      <w:r>
        <w:t>18 第二三阶段的接续方案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872"/>
        <w:gridCol w:w="3787"/>
        <w:gridCol w:w="4334"/>
      </w:tblGrid>
      <w:tr>
        <w:trPr>
          <w:cantSplit/>
          <w:tblHeader/>
        </w:trPr>
        <w:tc>
          <w:tcPr>
            <w:tcW w:type="dxa" w:w="1872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后续业务</w:t>
            </w:r>
          </w:p>
        </w:tc>
        <w:tc>
          <w:tcPr>
            <w:tcW w:type="dxa" w:w="3787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复用第一阶段</w:t>
            </w:r>
          </w:p>
        </w:tc>
        <w:tc>
          <w:tcPr>
            <w:tcW w:type="dxa" w:w="4334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到该阶段再新增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二期采购库存</w:t>
            </w:r>
          </w:p>
        </w:tc>
        <w:tc>
          <w:tcPr>
            <w:tcW w:type="dxa" w:w="378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产品、门店、用户、来源与操作记录</w:t>
            </w:r>
          </w:p>
        </w:tc>
        <w:tc>
          <w:tcPr>
            <w:tcW w:type="dxa" w:w="433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供应商、采购单、入库、库存流水、序列号；用流水追踪增减。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二期销售收银</w:t>
            </w:r>
          </w:p>
        </w:tc>
        <w:tc>
          <w:tcPr>
            <w:tcW w:type="dxa" w:w="3787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客户、服务、候选政策版本、人工确认</w:t>
            </w:r>
          </w:p>
        </w:tc>
        <w:tc>
          <w:tcPr>
            <w:tcW w:type="dxa" w:w="4334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销售订单、订单行、优惠、模拟支付、销售出库和日结；正常链路当期联动。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二期通信与工单</w:t>
            </w:r>
          </w:p>
        </w:tc>
        <w:tc>
          <w:tcPr>
            <w:tcW w:type="dxa" w:w="378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BOSS 适配器、受理状态、service_tasks</w:t>
            </w:r>
          </w:p>
        </w:tc>
        <w:tc>
          <w:tcPr>
            <w:tcW w:type="dxa" w:w="433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客户业务更新、安装工单、预约派工、处理及验收；保留来源受理或订单。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二期酬金提成</w:t>
            </w:r>
          </w:p>
        </w:tc>
        <w:tc>
          <w:tcPr>
            <w:tcW w:type="dxa" w:w="3787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外部业务单、办理结果、员工归属</w:t>
            </w:r>
          </w:p>
        </w:tc>
        <w:tc>
          <w:tcPr>
            <w:tcW w:type="dxa" w:w="4334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规则版本、预估台账、模拟账单、匹配对账和待结算提成。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二期 AI 与 GEO</w:t>
            </w:r>
          </w:p>
        </w:tc>
        <w:tc>
          <w:tcPr>
            <w:tcW w:type="dxa" w:w="378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AI 运行、资料版本、质检与评测机制</w:t>
            </w:r>
          </w:p>
        </w:tc>
        <w:tc>
          <w:tcPr>
            <w:tcW w:type="dxa" w:w="433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销售方案草稿、经营查询摘要、人工导入外部回答；真实与模拟样本分开。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三期联动异常</w:t>
            </w:r>
          </w:p>
        </w:tc>
        <w:tc>
          <w:tcPr>
            <w:tcW w:type="dxa" w:w="3787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稳定标识、状态机、幂等请求与事件</w:t>
            </w:r>
          </w:p>
        </w:tc>
        <w:tc>
          <w:tcPr>
            <w:tcW w:type="dxa" w:w="4334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退换货、退款、撤单、改派、结算差异、跨门店协作及权限细化。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18 1 从服务记录连接经营订单</w:t>
      </w:r>
    </w:p>
    <w:p>
      <w:r>
        <w:rPr>
          <w:b w:val="0"/>
        </w:rPr>
        <w:t>第二阶段新建 sales_orders，以 source_service_id、source_acceptance_id 等明确外键连接已有流程；不要把第一阶段 recommendations 表改成万能订单表。库存、收款、办理分别有自己的事实与状态，由业务服务编排正常链路，第三阶段再补齐异常补偿。</w:t>
      </w:r>
    </w:p>
    <w:p>
      <w:pPr>
        <w:pStyle w:val="Heading2"/>
      </w:pPr>
      <w:r>
        <w:t>18 2 现在保留与以后建设的区别</w:t>
      </w:r>
    </w:p>
    <w:p>
      <w:r>
        <w:rPr>
          <w:b w:val="0"/>
        </w:rPr>
        <w:t>现在必须有 store_id、稳定实体 ID、不可变政策与输入快照、请求标识、版本迁移和模块边界。现在不需要通用单据引擎、全局事件总线、微服务网关、万能审批或几十张空表。具体新字段可通过 Alembic 添加，保留扩展性不等于提前实现未来需求。</w:t>
      </w:r>
    </w:p>
    <w:p>
      <w:pPr>
        <w:pStyle w:val="Heading2"/>
      </w:pPr>
      <w:r>
        <w:t>18 3 升级触发条件</w:t>
      </w:r>
    </w:p>
    <w:p>
      <w:pPr>
        <w:ind w:left="173" w:hanging="173"/>
      </w:pPr>
      <w:r>
        <w:rPr>
          <w:b w:val="0"/>
        </w:rPr>
        <w:t>•  实际出现必须在进程重启后继续执行的长任务，再引入持久任务队列；任务落库、重试和幂等仍由业务合同约束。</w:t>
      </w:r>
    </w:p>
    <w:p>
      <w:pPr>
        <w:ind w:left="173" w:hanging="173"/>
      </w:pPr>
      <w:r>
        <w:rPr>
          <w:b w:val="0"/>
        </w:rPr>
        <w:t>•  长篇非结构化政策无法用产品字段满足检索时，再评估全文或向量检索；资费、资格与合约继续由结构化规则计算。</w:t>
      </w:r>
    </w:p>
    <w:p>
      <w:pPr>
        <w:ind w:left="173" w:hanging="173"/>
      </w:pPr>
      <w:r>
        <w:rPr>
          <w:b w:val="0"/>
        </w:rPr>
        <w:t>•  实测叫号锁等待或多店并发成为瓶颈时再细化锁范围；数据模型已带门店归属，但完整多店运营能力属于后续验收范围。</w:t>
      </w:r>
    </w:p>
    <w:p>
      <w:pPr>
        <w:pStyle w:val="Heading1"/>
        <w:pageBreakBefore/>
      </w:pPr>
      <w:r>
        <w:t>19 依据与技术参考</w:t>
      </w:r>
    </w:p>
    <w:p>
      <w:r>
        <w:rPr>
          <w:b w:val="0"/>
        </w:rPr>
        <w:t>需求依据为《完善经营中台 Demo》中的最新技术讨论，以及同仓库的第一阶段独立规划书与综合项目规划书。本报告对接口名、表结构、状态机、会话方案和施工包作了进一步设计；这些是项目决策，不是外部文档的强制要求。</w:t>
      </w:r>
    </w:p>
    <w:p>
      <w:r>
        <w:rPr>
          <w:b w:val="0"/>
        </w:rPr>
        <w:t>官方资料核对日期 2026年10月2日。链接说明技术能力及边界；精确依赖版本与模型提供方能力在 M0 再验证并锁定。</w:t>
      </w:r>
    </w:p>
    <w:p>
      <w:pPr>
        <w:spacing w:line="260" w:lineRule="exact" w:after="60"/>
      </w:pPr>
      <w:r>
        <w:rPr>
          <w:sz w:val="18"/>
        </w:rPr>
        <w:t xml:space="preserve">[S01]  </w:t>
      </w:r>
      <w:hyperlink r:id="rId11">
        <w:r>
          <w:rPr>
            <w:rFonts w:ascii="Microsoft YaHei" w:hAnsi="Microsoft YaHei" w:eastAsia="Microsoft YaHei"/>
            <w:color w:val="17365D"/>
            <w:sz w:val="18"/>
          </w:rPr>
          <w:t>React 官方  从零构建应用</w:t>
        </w:r>
      </w:hyperlink>
    </w:p>
    <w:p>
      <w:pPr>
        <w:spacing w:line="260" w:lineRule="exact" w:after="60"/>
      </w:pPr>
      <w:r>
        <w:rPr>
          <w:sz w:val="18"/>
        </w:rPr>
        <w:t xml:space="preserve">[S02]  </w:t>
      </w:r>
      <w:hyperlink r:id="rId12">
        <w:r>
          <w:rPr>
            <w:rFonts w:ascii="Microsoft YaHei" w:hAnsi="Microsoft YaHei" w:eastAsia="Microsoft YaHei"/>
            <w:color w:val="17365D"/>
            <w:sz w:val="18"/>
          </w:rPr>
          <w:t>FastAPI 官方  多文件应用与 APIRouter</w:t>
        </w:r>
      </w:hyperlink>
    </w:p>
    <w:p>
      <w:pPr>
        <w:spacing w:line="260" w:lineRule="exact" w:after="60"/>
      </w:pPr>
      <w:r>
        <w:rPr>
          <w:sz w:val="18"/>
        </w:rPr>
        <w:t xml:space="preserve">[S03]  </w:t>
      </w:r>
      <w:hyperlink r:id="rId13">
        <w:r>
          <w:rPr>
            <w:rFonts w:ascii="Microsoft YaHei" w:hAnsi="Microsoft YaHei" w:eastAsia="Microsoft YaHei"/>
            <w:color w:val="17365D"/>
            <w:sz w:val="18"/>
          </w:rPr>
          <w:t>Pydantic 官方  Models 与数据校验</w:t>
        </w:r>
      </w:hyperlink>
    </w:p>
    <w:p>
      <w:pPr>
        <w:spacing w:line="260" w:lineRule="exact" w:after="60"/>
      </w:pPr>
      <w:r>
        <w:rPr>
          <w:sz w:val="18"/>
        </w:rPr>
        <w:t xml:space="preserve">[S04]  </w:t>
      </w:r>
      <w:hyperlink r:id="rId14">
        <w:r>
          <w:rPr>
            <w:rFonts w:ascii="Microsoft YaHei" w:hAnsi="Microsoft YaHei" w:eastAsia="Microsoft YaHei"/>
            <w:color w:val="17365D"/>
            <w:sz w:val="18"/>
          </w:rPr>
          <w:t>SQLAlchemy 官方  异步会话与并发使用</w:t>
        </w:r>
      </w:hyperlink>
    </w:p>
    <w:p>
      <w:pPr>
        <w:spacing w:line="260" w:lineRule="exact" w:after="60"/>
      </w:pPr>
      <w:r>
        <w:rPr>
          <w:sz w:val="18"/>
        </w:rPr>
        <w:t xml:space="preserve">[S05]  </w:t>
      </w:r>
      <w:hyperlink r:id="rId15">
        <w:r>
          <w:rPr>
            <w:rFonts w:ascii="Microsoft YaHei" w:hAnsi="Microsoft YaHei" w:eastAsia="Microsoft YaHei"/>
            <w:color w:val="17365D"/>
            <w:sz w:val="18"/>
          </w:rPr>
          <w:t>LangChain 官方  模型调用与结构化输出</w:t>
        </w:r>
      </w:hyperlink>
    </w:p>
    <w:p>
      <w:pPr>
        <w:spacing w:line="260" w:lineRule="exact" w:after="60"/>
      </w:pPr>
      <w:r>
        <w:rPr>
          <w:sz w:val="18"/>
        </w:rPr>
        <w:t xml:space="preserve">[S06]  </w:t>
      </w:r>
      <w:hyperlink r:id="rId16">
        <w:r>
          <w:rPr>
            <w:rFonts w:ascii="Microsoft YaHei" w:hAnsi="Microsoft YaHei" w:eastAsia="Microsoft YaHei"/>
            <w:color w:val="17365D"/>
            <w:sz w:val="18"/>
          </w:rPr>
          <w:t>Alembic 官方  自动生成迁移的限制</w:t>
        </w:r>
      </w:hyperlink>
    </w:p>
    <w:p>
      <w:pPr>
        <w:spacing w:line="260" w:lineRule="exact" w:after="60"/>
      </w:pPr>
      <w:r>
        <w:rPr>
          <w:sz w:val="18"/>
        </w:rPr>
        <w:t xml:space="preserve">[S07]  </w:t>
      </w:r>
      <w:hyperlink r:id="rId17">
        <w:r>
          <w:rPr>
            <w:rFonts w:ascii="Microsoft YaHei" w:hAnsi="Microsoft YaHei" w:eastAsia="Microsoft YaHei"/>
            <w:color w:val="17365D"/>
            <w:sz w:val="18"/>
          </w:rPr>
          <w:t>PostgreSQL 官方  显式锁与行锁</w:t>
        </w:r>
      </w:hyperlink>
    </w:p>
    <w:p>
      <w:pPr>
        <w:spacing w:line="260" w:lineRule="exact" w:after="60"/>
      </w:pPr>
      <w:r>
        <w:rPr>
          <w:sz w:val="18"/>
        </w:rPr>
        <w:t xml:space="preserve">[S08]  </w:t>
      </w:r>
      <w:hyperlink r:id="rId18">
        <w:r>
          <w:rPr>
            <w:rFonts w:ascii="Microsoft YaHei" w:hAnsi="Microsoft YaHei" w:eastAsia="Microsoft YaHei"/>
            <w:color w:val="17365D"/>
            <w:sz w:val="18"/>
          </w:rPr>
          <w:t>PostgreSQL 官方  数据约束</w:t>
        </w:r>
      </w:hyperlink>
    </w:p>
    <w:p>
      <w:pPr>
        <w:spacing w:line="260" w:lineRule="exact" w:after="60"/>
      </w:pPr>
      <w:r>
        <w:rPr>
          <w:sz w:val="18"/>
        </w:rPr>
        <w:t xml:space="preserve">[S09]  </w:t>
      </w:r>
      <w:hyperlink r:id="rId19">
        <w:r>
          <w:rPr>
            <w:rFonts w:ascii="Microsoft YaHei" w:hAnsi="Microsoft YaHei" w:eastAsia="Microsoft YaHei"/>
            <w:color w:val="17365D"/>
            <w:sz w:val="18"/>
          </w:rPr>
          <w:t>PostgreSQL 官方  JSON 数据类型</w:t>
        </w:r>
      </w:hyperlink>
    </w:p>
    <w:p>
      <w:pPr>
        <w:spacing w:line="260" w:lineRule="exact" w:after="60"/>
      </w:pPr>
      <w:r>
        <w:rPr>
          <w:sz w:val="18"/>
        </w:rPr>
        <w:t xml:space="preserve">[S10]  </w:t>
      </w:r>
      <w:hyperlink r:id="rId20">
        <w:r>
          <w:rPr>
            <w:rFonts w:ascii="Microsoft YaHei" w:hAnsi="Microsoft YaHei" w:eastAsia="Microsoft YaHei"/>
            <w:color w:val="17365D"/>
            <w:sz w:val="18"/>
          </w:rPr>
          <w:t>PostgreSQL 官方  精确数值类型</w:t>
        </w:r>
      </w:hyperlink>
    </w:p>
    <w:p>
      <w:pPr>
        <w:spacing w:line="260" w:lineRule="exact" w:after="60"/>
      </w:pPr>
      <w:r>
        <w:rPr>
          <w:sz w:val="18"/>
        </w:rPr>
        <w:t xml:space="preserve">[S11]  </w:t>
      </w:r>
      <w:hyperlink r:id="rId21">
        <w:r>
          <w:rPr>
            <w:rFonts w:ascii="Microsoft YaHei" w:hAnsi="Microsoft YaHei" w:eastAsia="Microsoft YaHei"/>
            <w:color w:val="17365D"/>
            <w:sz w:val="18"/>
          </w:rPr>
          <w:t>FastAPI 官方  Background Tasks</w:t>
        </w:r>
      </w:hyperlink>
    </w:p>
    <w:p>
      <w:pPr>
        <w:spacing w:line="260" w:lineRule="exact" w:after="60"/>
      </w:pPr>
      <w:r>
        <w:rPr>
          <w:sz w:val="18"/>
        </w:rPr>
        <w:t xml:space="preserve">[S12]  </w:t>
      </w:r>
      <w:hyperlink r:id="rId22">
        <w:r>
          <w:rPr>
            <w:rFonts w:ascii="Microsoft YaHei" w:hAnsi="Microsoft YaHei" w:eastAsia="Microsoft YaHei"/>
            <w:color w:val="17365D"/>
            <w:sz w:val="18"/>
          </w:rPr>
          <w:t>OWASP  会话管理建议</w:t>
        </w:r>
      </w:hyperlink>
    </w:p>
    <w:p>
      <w:pPr>
        <w:spacing w:line="260" w:lineRule="exact" w:after="60"/>
      </w:pPr>
      <w:r>
        <w:rPr>
          <w:sz w:val="18"/>
        </w:rPr>
        <w:t xml:space="preserve">[S13]  </w:t>
      </w:r>
      <w:hyperlink r:id="rId23">
        <w:r>
          <w:rPr>
            <w:rFonts w:ascii="Microsoft YaHei" w:hAnsi="Microsoft YaHei" w:eastAsia="Microsoft YaHei"/>
            <w:color w:val="17365D"/>
            <w:sz w:val="18"/>
          </w:rPr>
          <w:t>OWASP  CSRF 防护建议</w:t>
        </w:r>
      </w:hyperlink>
    </w:p>
    <w:p>
      <w:pPr>
        <w:spacing w:line="260" w:lineRule="exact" w:after="60"/>
      </w:pPr>
      <w:r>
        <w:rPr>
          <w:sz w:val="18"/>
        </w:rPr>
        <w:t xml:space="preserve">[S14]  </w:t>
      </w:r>
      <w:hyperlink r:id="rId24">
        <w:r>
          <w:rPr>
            <w:rFonts w:ascii="Microsoft YaHei" w:hAnsi="Microsoft YaHei" w:eastAsia="Microsoft YaHei"/>
            <w:color w:val="17365D"/>
            <w:sz w:val="18"/>
          </w:rPr>
          <w:t>Docker 官方  Compose 启动依赖与健康检查</w:t>
        </w:r>
      </w:hyperlink>
    </w:p>
    <w:p>
      <w:pPr>
        <w:spacing w:line="260" w:lineRule="exact" w:after="60"/>
      </w:pPr>
      <w:r>
        <w:rPr>
          <w:sz w:val="18"/>
        </w:rPr>
        <w:t xml:space="preserve">[S15]  </w:t>
      </w:r>
      <w:hyperlink r:id="rId25">
        <w:r>
          <w:rPr>
            <w:rFonts w:ascii="Microsoft YaHei" w:hAnsi="Microsoft YaHei" w:eastAsia="Microsoft YaHei"/>
            <w:color w:val="17365D"/>
            <w:sz w:val="18"/>
          </w:rPr>
          <w:t>FastAPI 官方  密码哈希与 pwdlib</w:t>
        </w:r>
      </w:hyperlink>
    </w:p>
    <w:p>
      <w:pPr>
        <w:pStyle w:val="Heading2"/>
      </w:pPr>
      <w:r>
        <w:t>19 1 配套文件</w:t>
      </w:r>
    </w:p>
    <w:p>
      <w:pPr>
        <w:ind w:left="173" w:hanging="173"/>
      </w:pPr>
      <w:r>
        <w:rPr>
          <w:b w:val="0"/>
        </w:rPr>
        <w:t>•  01 技术施工报告：实现路径、数据、接口、状态和验证标准。</w:t>
      </w:r>
    </w:p>
    <w:p>
      <w:pPr>
        <w:ind w:left="173" w:hanging="173"/>
      </w:pPr>
      <w:r>
        <w:rPr>
          <w:b w:val="0"/>
        </w:rPr>
        <w:t>•  02 Agent 施工规则与交付规范：编码助手每次施工的约束和交付格式。</w:t>
      </w:r>
    </w:p>
    <w:p>
      <w:pPr>
        <w:ind w:left="173" w:hanging="173"/>
      </w:pPr>
      <w:r>
        <w:rPr>
          <w:b w:val="0"/>
        </w:rPr>
        <w:t>•  03 软件架构设计与技术选型说明：方案取舍、代价与未来调整条件。</w:t>
      </w:r>
    </w:p>
    <w:p>
      <w:r>
        <w:rPr>
          <w:b w:val="0"/>
        </w:rPr>
        <w:t>项目根目录 AGENTS.md 是上述规则的执行摘要。若后续真实需求改变，应同步更新受影响的技术文档；历史方案可保留版本记录，不能一边修改代码一边让施工依据长期失真。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123" w:bottom="1008" w:left="1123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Channel Store ERP    技术施工报告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90"/>
      <w:snapToGrid w:val="0"/>
    </w:pPr>
    <w:rPr>
      <w:rFonts w:ascii="Microsoft YaHei" w:hAnsi="Microsoft YaHei" w:eastAsia="Microsoft YaHei" w:cs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20" w:lineRule="exact"/>
    </w:pPr>
    <w:rPr>
      <w:rFonts w:ascii="Microsoft YaHei" w:hAnsi="Microsoft YaHei" w:eastAsia="Microsoft YaHei" w:cs="Microsoft YaHei"/>
      <w:b w:val="0"/>
      <w:i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20" w:lineRule="exact"/>
    </w:pPr>
    <w:rPr>
      <w:rFonts w:ascii="Microsoft YaHei" w:hAnsi="Microsoft YaHei" w:eastAsia="Microsoft YaHei" w:cs="Microsoft YaHei"/>
      <w:b w:val="0"/>
      <w:i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44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6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62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20" w:lineRule="exact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eact.dev/learn/build-a-react-app-from-scratch" TargetMode="External"/><Relationship Id="rId12" Type="http://schemas.openxmlformats.org/officeDocument/2006/relationships/hyperlink" Target="https://fastapi.tiangolo.com/tutorial/bigger-applications/" TargetMode="External"/><Relationship Id="rId13" Type="http://schemas.openxmlformats.org/officeDocument/2006/relationships/hyperlink" Target="https://docs.pydantic.dev/latest/concepts/models/" TargetMode="External"/><Relationship Id="rId14" Type="http://schemas.openxmlformats.org/officeDocument/2006/relationships/hyperlink" Target="https://docs.sqlalchemy.org/en/20/orm/extensions/asyncio.html" TargetMode="External"/><Relationship Id="rId15" Type="http://schemas.openxmlformats.org/officeDocument/2006/relationships/hyperlink" Target="https://docs.langchain.com/oss/python/langchain/models" TargetMode="External"/><Relationship Id="rId16" Type="http://schemas.openxmlformats.org/officeDocument/2006/relationships/hyperlink" Target="https://alembic.sqlalchemy.org/en/latest/autogenerate.html" TargetMode="External"/><Relationship Id="rId17" Type="http://schemas.openxmlformats.org/officeDocument/2006/relationships/hyperlink" Target="https://www.postgresql.org/docs/current/explicit-locking.html" TargetMode="External"/><Relationship Id="rId18" Type="http://schemas.openxmlformats.org/officeDocument/2006/relationships/hyperlink" Target="https://www.postgresql.org/docs/current/ddl-constraints.html" TargetMode="External"/><Relationship Id="rId19" Type="http://schemas.openxmlformats.org/officeDocument/2006/relationships/hyperlink" Target="https://www.postgresql.org/docs/current/datatype-json.html" TargetMode="External"/><Relationship Id="rId20" Type="http://schemas.openxmlformats.org/officeDocument/2006/relationships/hyperlink" Target="https://www.postgresql.org/docs/current/datatype-numeric.html" TargetMode="External"/><Relationship Id="rId21" Type="http://schemas.openxmlformats.org/officeDocument/2006/relationships/hyperlink" Target="https://fastapi.tiangolo.com/tutorial/background-tasks/" TargetMode="External"/><Relationship Id="rId22" Type="http://schemas.openxmlformats.org/officeDocument/2006/relationships/hyperlink" Target="https://cheatsheetseries.owasp.org/cheatsheets/Session_Management_Cheat_Sheet.html" TargetMode="External"/><Relationship Id="rId23" Type="http://schemas.openxmlformats.org/officeDocument/2006/relationships/hyperlink" Target="https://cheatsheetseries.owasp.org/cheatsheets/Cross-Site_Request_Forgery_Prevention_Cheat_Sheet.html" TargetMode="External"/><Relationship Id="rId24" Type="http://schemas.openxmlformats.org/officeDocument/2006/relationships/hyperlink" Target="https://docs.docker.com/compose/how-tos/startup-order/" TargetMode="External"/><Relationship Id="rId25" Type="http://schemas.openxmlformats.org/officeDocument/2006/relationships/hyperlink" Target="https://fastapi.tiangolo.com/tutorial/security/oauth2-jw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代理营业厅经营中台 技术施工报告  第一阶段独立交付与后续扩展</dc:title>
  <dc:subject>第一阶段独立施工与第二三阶段延续</dc:subject>
  <dc:creator>项目技术规划</dc:creator>
  <cp:keywords/>
  <dc:description>generated by python-docx</dc:description>
  <cp:lastModifiedBy>项目技术规划</cp:lastModifiedBy>
  <cp:revision>1</cp:revision>
  <dcterms:created xsi:type="dcterms:W3CDTF">2026-10-02T00:00:00Z</dcterms:created>
  <dcterms:modified xsi:type="dcterms:W3CDTF">2026-10-02T00:00:00Z</dcterms:modified>
  <cp:category/>
</cp:coreProperties>
</file>