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软件架构设计与技术选型说明</w:t>
      </w:r>
    </w:p>
    <w:p>
      <w:pPr>
        <w:pStyle w:val="Subtitle"/>
      </w:pPr>
      <w:r>
        <w:t>代理营业厅经营中台  设计理由、代价与调整条件</w:t>
      </w:r>
    </w:p>
    <w:p>
      <w:r>
        <w:rPr>
          <w:b w:val="0"/>
          <w:sz w:val="18"/>
        </w:rPr>
        <w:t>版本 V1.0    编制日期 2026年10月2日    状态 拟实施技术基线</w:t>
      </w:r>
    </w:p>
    <w:p>
      <w:pPr>
        <w:pStyle w:val="Heading1"/>
      </w:pPr>
      <w:r>
        <w:t>1 架构要解决的问题</w:t>
      </w:r>
    </w:p>
    <w:p>
      <w:r>
        <w:rPr>
          <w:b w:val="0"/>
        </w:rPr>
        <w:t>本项目同时承担两件事：模拟营业厅实际服务流程，并展示 AI 场景适配、质检与改进能力。架构需要让业务事实可核对、人工决定可追溯、外部结果可恢复，同时允许个人开发者在有限时间内完成一个可运行的版本。</w:t>
      </w:r>
    </w:p>
    <w:p>
      <w:r>
        <w:rPr>
          <w:b w:val="0"/>
        </w:rPr>
        <w:t>设计起点是“业务系统内嵌入受控 AI”。套餐、合约、排队与受理都是具有明确状态和规则的业务；语言模型适合解析需求和解释资料，但不能成为这些事实与状态的最终裁定者。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117"/>
        <w:gridCol w:w="4032"/>
        <w:gridCol w:w="3845"/>
      </w:tblGrid>
      <w:tr>
        <w:trPr>
          <w:cantSplit/>
          <w:tblHeader/>
        </w:trPr>
        <w:tc>
          <w:tcPr>
            <w:tcW w:type="dxa" w:w="211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设计决定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当前价值</w:t>
            </w:r>
          </w:p>
        </w:tc>
        <w:tc>
          <w:tcPr>
            <w:tcW w:type="dxa" w:w="384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接受的代价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模块化单体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少量进程便于调试；跨模块业务容易保持一致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需要持续维护模块边界，不能靠部署隔离约束代码。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关系型事实与版本快照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既能查询统计，又能还原当时依据</w:t>
            </w:r>
          </w:p>
        </w:tc>
        <w:tc>
          <w:tcPr>
            <w:tcW w:type="dxa" w:w="384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比只存聊天记录多一些表与关联。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程序规则加固定 AI 流程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价格和资格可验证，AI 价值集中在理解与解释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不会获得完全开放的自主规划能力。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独立 HTTP Mock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能真实验证协议、超时、幂等和恢复</w:t>
            </w:r>
          </w:p>
        </w:tc>
        <w:tc>
          <w:tcPr>
            <w:tcW w:type="dxa" w:w="384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比内存假数据多一个本地进程。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按阶段增加业务实体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一期独立交付，后续沿用标识与数据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未来仍需迁移与新增代码，扩展不是零成本。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 1 衡量架构是否合适</w:t>
      </w:r>
    </w:p>
    <w:p>
      <w:pPr>
        <w:ind w:left="173" w:hanging="173"/>
      </w:pPr>
      <w:r>
        <w:rPr>
          <w:b w:val="0"/>
        </w:rPr>
        <w:t>•  一个人能理解、启动和定位问题；一条服务链能从页面追溯到数据库与外部请求。</w:t>
      </w:r>
    </w:p>
    <w:p>
      <w:pPr>
        <w:ind w:left="173" w:hanging="173"/>
      </w:pPr>
      <w:r>
        <w:rPr>
          <w:b w:val="0"/>
        </w:rPr>
        <w:t>•  价格、权限、确认、幂等和状态不依赖模型的自由回答；模型故障不使基本业务停摆。</w:t>
      </w:r>
    </w:p>
    <w:p>
      <w:pPr>
        <w:ind w:left="173" w:hanging="173"/>
      </w:pPr>
      <w:r>
        <w:rPr>
          <w:b w:val="0"/>
        </w:rPr>
        <w:t>•  第二阶段无需重建客户、账号和政策体系；第三阶段可在现有状态和事件上补异常处理。</w:t>
      </w:r>
    </w:p>
    <w:p>
      <w:pPr>
        <w:pStyle w:val="Heading2"/>
      </w:pPr>
      <w:r>
        <w:t>1 2 本文的阅读边界</w:t>
      </w:r>
    </w:p>
    <w:p>
      <w:r>
        <w:rPr>
          <w:b w:val="0"/>
        </w:rPr>
        <w:t>本文解释“为何选这种组织方式”，详细字段、接口及施工顺序见《技术施工报告》。所有选型均为拟实施基线；效果、吞吐与工时需要实际验证，不能由架构文字推导为已经实现。</w:t>
      </w:r>
    </w:p>
    <w:p>
      <w:pPr>
        <w:pStyle w:val="Heading1"/>
        <w:pageBreakBefore/>
      </w:pPr>
      <w:r>
        <w:t>2 前后端选型为何适合当前范围</w:t>
      </w:r>
    </w:p>
    <w:p>
      <w:pPr>
        <w:pStyle w:val="Heading2"/>
      </w:pPr>
      <w:r>
        <w:t>2 1 React 与 TypeScript</w:t>
      </w:r>
    </w:p>
    <w:p>
      <w:r>
        <w:rPr>
          <w:b w:val="0"/>
        </w:rPr>
        <w:t>店员工作台包含并排事实区、需求表单、推荐卡片、质检抽屉和状态变化。React 适合以组件组织这些交互；TypeScript 约束前端数据合同，减少把可空费用当确定金额、把受理状态写错等常见问题。类型检查仍不能代替后端权限或数据库事实校验。</w:t>
      </w:r>
    </w:p>
    <w:p>
      <w:r>
        <w:rPr>
          <w:b w:val="0"/>
        </w:rPr>
        <w:t>Vite 承担开发与构建。当前主要页面在登录后使用，没有搜索引擎收录或服务端渲染需求，因此采用客户端应用。React 官方将路由与数据获取列为自行搭建应用需要处理的职责，本项目用 React Router 和 TanStack Query 补齐，而不再增加一个服务端框架。[S01]</w:t>
      </w:r>
    </w:p>
    <w:p>
      <w:pPr>
        <w:pStyle w:val="Heading2"/>
      </w:pPr>
      <w:r>
        <w:t>2 2 组件与数据状态</w:t>
      </w:r>
    </w:p>
    <w:p>
      <w:r>
        <w:rPr>
          <w:b w:val="0"/>
        </w:rPr>
        <w:t>Ant Design 提供表格、表单、抽屉、步骤和状态展示，节省搭建管理界面的时间；代价是需要遵守组件约定和做适度样式调整。Query 管服务端请求、缓存与失效，组件状态管局部交互；此时不引入 Redux 等第二套全局状态体系。只有出现明确的跨页面本地复杂状态，才重新评估。</w:t>
      </w:r>
    </w:p>
    <w:p>
      <w:pPr>
        <w:pStyle w:val="Heading2"/>
      </w:pPr>
      <w:r>
        <w:t>2 3 FastAPI 与 Pydantic</w:t>
      </w:r>
    </w:p>
    <w:p>
      <w:r>
        <w:rPr>
          <w:b w:val="0"/>
        </w:rPr>
        <w:t>Python 方便组织 AI 调用和数据规则；FastAPI 为类型化接口、依赖注入及 OpenAPI 提供统一入口。APIRouter 允许在同一应用内按业务拆模块。Pydantic 用于输入、输出和外部数据的结构约束，SQLAlchemy 用于关系映射与数据库读写，两者职责不同。[S02][S03]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448"/>
        <w:gridCol w:w="3701"/>
        <w:gridCol w:w="3845"/>
      </w:tblGrid>
      <w:tr>
        <w:trPr>
          <w:cantSplit/>
          <w:tblHeader/>
        </w:trPr>
        <w:tc>
          <w:tcPr>
            <w:tcW w:type="dxa" w:w="244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替代方向</w:t>
            </w:r>
          </w:p>
        </w:tc>
        <w:tc>
          <w:tcPr>
            <w:tcW w:type="dxa" w:w="370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为何目前不选</w:t>
            </w:r>
          </w:p>
        </w:tc>
        <w:tc>
          <w:tcPr>
            <w:tcW w:type="dxa" w:w="384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重新评估条件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Next.js 或额外前端服务端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当前主要是内部工作台，增加一层服务端没有明确收益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出现内容型公共页面、SSR 或明确的首屏需求。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全自研 UI 组件</w:t>
            </w:r>
          </w:p>
        </w:tc>
        <w:tc>
          <w:tcPr>
            <w:tcW w:type="dxa" w:w="370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复杂表格与表单工作量大，不能直接增加业务演示价值</w:t>
            </w:r>
          </w:p>
        </w:tc>
        <w:tc>
          <w:tcPr>
            <w:tcW w:type="dxa" w:w="384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已有稳定设计系统或组件库确实无法满足交互。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全同步数据库调用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方案已采用异步外部调用；统一 AsyncSession 便于限制阻塞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团队对同步栈更熟悉且负载验证表明足够，可在开工前统一调整。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异步不是自动提速。每个并发任务仍需独立会话，数据库访问要避免隐式 I/O；复杂度必须靠明确的事务边界控制。[S04]</w:t>
      </w:r>
    </w:p>
    <w:p>
      <w:pPr>
        <w:pStyle w:val="Heading1"/>
        <w:pageBreakBefore/>
      </w:pPr>
      <w:r>
        <w:t>3 模块化单体与 Mock 隔离</w:t>
      </w:r>
    </w:p>
    <w:p>
      <w:pPr>
        <w:pStyle w:val="Heading2"/>
      </w:pPr>
      <w:r>
        <w:t>3 1 为何先保留一个业务后端</w:t>
      </w:r>
    </w:p>
    <w:p>
      <w:r>
        <w:rPr>
          <w:b w:val="0"/>
        </w:rPr>
        <w:t>一期推荐、质检、受理和评价围绕同一次服务，开发者需要频繁联调这些环节。拆成多个微服务会提前引入服务发现、分布式调用、部署与跨服务数据一致性问题，当前业务规模不足以抵消这笔成本。一个 FastAPI 应用内按业务模块拆分，能保留清晰责任并使用本地事务。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客户入口／店员工作台／后台管理</w:t>
        <w:br/>
        <w:t xml:space="preserve">              ↓ HTTP</w:t>
        <w:br/>
        <w:t xml:space="preserve">        FastAPI 业务模块</w:t>
        <w:br/>
        <w:t xml:space="preserve">          ↙       ↓       ↘</w:t>
        <w:br/>
        <w:t xml:space="preserve">   PostgreSQL   AI 适配    BOSS 适配</w:t>
        <w:br/>
        <w:t xml:space="preserve">                  ↓          ↓</w:t>
        <w:br/>
        <w:t xml:space="preserve">                模型 API   Mock HTTP 服务</w:t>
      </w:r>
    </w:p>
    <w:p>
      <w:pPr>
        <w:pStyle w:val="Heading2"/>
      </w:pPr>
      <w:r>
        <w:t>3 2 边界靠数据所有权和业务入口</w:t>
      </w:r>
    </w:p>
    <w:p>
      <w:r>
        <w:rPr>
          <w:b w:val="0"/>
        </w:rPr>
        <w:t>模块拥有自己的业务规则和写操作。其他模块通过明确函数推进状态，不直接任意修改其表。例如库存模块未来从订单业务入口生成出库，而不是在任意页面更新库存余额。公共层只放连接、配置、身份和确实共用的小工具，不放所有业务都能调用的万能服务。</w:t>
      </w:r>
    </w:p>
    <w:p>
      <w:r>
        <w:rPr>
          <w:b w:val="0"/>
        </w:rPr>
        <w:t>这套组织仍允许直接使用 SQLAlchemy 查询，不为每张表建立 Repository 接口。只有出现多种持久化实现或真正需要替换的边界时，才有理由增加抽象；测试可以用真实测试数据库验证事务与约束。</w:t>
      </w:r>
    </w:p>
    <w:p>
      <w:pPr>
        <w:pStyle w:val="Heading2"/>
      </w:pPr>
      <w:r>
        <w:t>3 3 为何 Mock 反而独立进程</w:t>
      </w:r>
    </w:p>
    <w:p>
      <w:r>
        <w:rPr>
          <w:b w:val="0"/>
        </w:rPr>
        <w:t>Mock 的目的不是让页面出现假数据，而是检验外部协议。若主系统直接访问内存对象或 Mock 数据表，就无法真实经历连接失败、返回结构错误、已受理但响应超时等场景。一个小型 HTTP 进程保留这些特征，同时仍放在同仓库并统一启动。</w:t>
      </w:r>
    </w:p>
    <w:p>
      <w:pPr>
        <w:pStyle w:val="Heading2"/>
      </w:pPr>
      <w:r>
        <w:t>3 4 代价与调整条件</w:t>
      </w:r>
    </w:p>
    <w:p>
      <w:r>
        <w:rPr>
          <w:b w:val="0"/>
        </w:rPr>
        <w:t>当前需要维护主应用和 Mock 两套配置、健康检查及数据库权限；这是为验证外部边界付出的必要成本。未来接真实 BOSS 时替换适配器配置与协议映射，原有业务状态、幂等键和恢复逻辑仍可沿用，但必须重新验证真实系统是否支持同样的幂等合同。</w:t>
      </w:r>
    </w:p>
    <w:p>
      <w:r>
        <w:rPr>
          <w:b w:val="0"/>
        </w:rPr>
        <w:t>只有独立团队、独立部署频率、故障隔离或实测资源瓶颈成为现实，再讨论拆服务；不能把“二三期会变大”当成现在拆分的充分理由。</w:t>
      </w:r>
    </w:p>
    <w:p>
      <w:pPr>
        <w:pStyle w:val="Heading1"/>
        <w:pageBreakBefore/>
      </w:pPr>
      <w:r>
        <w:t>4 关系数据与快照为何都需要</w:t>
      </w:r>
    </w:p>
    <w:p>
      <w:pPr>
        <w:pStyle w:val="Heading2"/>
      </w:pPr>
      <w:r>
        <w:t>4 1 服务记录比聊天记录更适合做业务中心</w:t>
      </w:r>
    </w:p>
    <w:p>
      <w:r>
        <w:rPr>
          <w:b w:val="0"/>
        </w:rPr>
        <w:t>客户可能不使用 AI，也可能在一次服务中多次修改需求、产生多轮推荐、只咨询不办理，或转入安装任务。如果以一段聊天作为中心，就很难回答“这一单是谁确认的、按哪个价格、办理结果如何”。service_sessions 提供稳定的业务容器，聊天和 AI 运行只是它的可选附件。</w:t>
      </w:r>
    </w:p>
    <w:p>
      <w:pPr>
        <w:pStyle w:val="Heading2"/>
      </w:pPr>
      <w:r>
        <w:t>4 2 当前事实与当时依据不能混在一起</w:t>
      </w:r>
    </w:p>
    <w:p>
      <w:r>
        <w:rPr>
          <w:b w:val="0"/>
        </w:rPr>
        <w:t>客户套餐和产品政策都会变化。只关联当前产品会让历史订单突然显示新价格；把所有内容复制成文本又难以统计。解决办法是核心实体与政策版本使用关系表，账号查询和 AI 输入保存不可变快照，推荐明确引用当时的版本。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43"/>
        <w:gridCol w:w="4133"/>
        <w:gridCol w:w="4018"/>
      </w:tblGrid>
      <w:tr>
        <w:trPr>
          <w:cantSplit/>
          <w:tblHeader/>
        </w:trPr>
        <w:tc>
          <w:tcPr>
            <w:tcW w:type="dxa" w:w="184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存储方式</w:t>
            </w:r>
          </w:p>
        </w:tc>
        <w:tc>
          <w:tcPr>
            <w:tcW w:type="dxa" w:w="413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适合内容</w:t>
            </w:r>
          </w:p>
        </w:tc>
        <w:tc>
          <w:tcPr>
            <w:tcW w:type="dxa" w:w="401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不适合的用法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关系表与字段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身份、门店、服务、状态、金额、时间、政策关系</w:t>
            </w:r>
          </w:p>
        </w:tc>
        <w:tc>
          <w:tcPr>
            <w:tcW w:type="dxa" w:w="40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把所有对象塞入一个 JSON 字段再由程序保证外键关系。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JSONB 快照</w:t>
            </w:r>
          </w:p>
        </w:tc>
        <w:tc>
          <w:tcPr>
            <w:tcW w:type="dxa" w:w="413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外部查询原貌、结构化 AI 输出、统计证据；带 schema_version</w:t>
            </w:r>
          </w:p>
        </w:tc>
        <w:tc>
          <w:tcPr>
            <w:tcW w:type="dxa" w:w="40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替代订单、库存和支付的结构化账务字段。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追加事件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确认、状态变化、人工调整、复核与恢复动作</w:t>
            </w:r>
          </w:p>
        </w:tc>
        <w:tc>
          <w:tcPr>
            <w:tcW w:type="dxa" w:w="40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为了全部历史重建而实施完整事件溯源框架。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PostgreSQL 同时提供关系约束与 JSONB，因此一期无需第二种数据库。JSONB 的灵活性不意味着无需验证；字段演进要通过 schema_version 和读取兼容策略管理。[S08][S09]</w:t>
      </w:r>
    </w:p>
    <w:p>
      <w:pPr>
        <w:pStyle w:val="Heading2"/>
      </w:pPr>
      <w:r>
        <w:t>4 3 业务字段的统一口径</w:t>
      </w:r>
    </w:p>
    <w:p>
      <w:r>
        <w:rPr>
          <w:b w:val="0"/>
        </w:rPr>
        <w:t>费用采用 Decimal 与 NUMERIC，是为了让计算和对账口径可控；十进制字符串接口避免 JavaScript 浮点误差变成页面资费。保存 UTC 时间并明确业务时区，能处理跨日排队和合约日期。每个核心记录带 store_id，使授权与未来分店扩展有稳定基础。[S10]</w:t>
      </w:r>
    </w:p>
    <w:p>
      <w:pPr>
        <w:pStyle w:val="Heading2"/>
      </w:pPr>
      <w:r>
        <w:t>4 4 接受的代价</w:t>
      </w:r>
    </w:p>
    <w:p>
      <w:r>
        <w:rPr>
          <w:b w:val="0"/>
        </w:rPr>
        <w:t>快照与版本会增加存储量，也需要展示“当时版本”和“当前版本”的区别；对于本 Demo，这比历史证据被覆盖更容易管理。暂不建立完整事件溯源或 CQRS，因为关系数据加关键事件已足够支持当前查询和追溯。后续只在真实审计或重建需求出现时评估。</w:t>
      </w:r>
    </w:p>
    <w:p>
      <w:pPr>
        <w:pStyle w:val="Heading1"/>
        <w:pageBreakBefore/>
      </w:pPr>
      <w:r>
        <w:t>5 状态机与幂等为何不能省略</w:t>
      </w:r>
    </w:p>
    <w:p>
      <w:pPr>
        <w:pStyle w:val="Heading2"/>
      </w:pPr>
      <w:r>
        <w:t>5 1 外部成功与本地看到成功不是一回事</w:t>
      </w:r>
    </w:p>
    <w:p>
      <w:r>
        <w:rPr>
          <w:b w:val="0"/>
        </w:rPr>
        <w:t>用户点击确认后，外部服务可能已经办结，网络却在响应返回时中断。如果把超时一律记为失败，并再次用新请求号提交，就可能重复办理。UNKNOWN 状态承认“系统尚不知道结果”，稳定请求号让后续查询与安全重试成为可能。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88"/>
        <w:gridCol w:w="3413"/>
        <w:gridCol w:w="4493"/>
      </w:tblGrid>
      <w:tr>
        <w:trPr>
          <w:cantSplit/>
          <w:tblHeader/>
        </w:trPr>
        <w:tc>
          <w:tcPr>
            <w:tcW w:type="dxa" w:w="208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情景</w:t>
            </w:r>
          </w:p>
        </w:tc>
        <w:tc>
          <w:tcPr>
            <w:tcW w:type="dxa" w:w="341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简单实现的后果</w:t>
            </w:r>
          </w:p>
        </w:tc>
        <w:tc>
          <w:tcPr>
            <w:tcW w:type="dxa" w:w="449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本方案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重复点击确认</w:t>
            </w:r>
          </w:p>
        </w:tc>
        <w:tc>
          <w:tcPr>
            <w:tcW w:type="dxa" w:w="341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产生两个请求或两个业务单</w:t>
            </w:r>
          </w:p>
        </w:tc>
        <w:tc>
          <w:tcPr>
            <w:tcW w:type="dxa" w:w="449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持久幂等键、内容摘要和数据库唯一约束。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成功后响应超时</w:t>
            </w:r>
          </w:p>
        </w:tc>
        <w:tc>
          <w:tcPr>
            <w:tcW w:type="dxa" w:w="341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显示失败并误导重新办理</w:t>
            </w:r>
          </w:p>
        </w:tc>
        <w:tc>
          <w:tcPr>
            <w:tcW w:type="dxa" w:w="449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UNKNOWN；沿原请求号查询及核对。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同时叫号</w:t>
            </w:r>
          </w:p>
        </w:tc>
        <w:tc>
          <w:tcPr>
            <w:tcW w:type="dxa" w:w="341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两个窗口取得同一客户</w:t>
            </w:r>
          </w:p>
        </w:tc>
        <w:tc>
          <w:tcPr>
            <w:tcW w:type="dxa" w:w="449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短事务锁定调度与部分唯一索引。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调用很慢</w:t>
            </w:r>
          </w:p>
        </w:tc>
        <w:tc>
          <w:tcPr>
            <w:tcW w:type="dxa" w:w="341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长事务占用连接与锁，其他服务被阻塞</w:t>
            </w:r>
          </w:p>
        </w:tc>
        <w:tc>
          <w:tcPr>
            <w:tcW w:type="dxa" w:w="449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调用前后分别落库，网络调用在事务外。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推荐修改后直接提交</w:t>
            </w:r>
          </w:p>
        </w:tc>
        <w:tc>
          <w:tcPr>
            <w:tcW w:type="dxa" w:w="341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人工确认的价格与实际内容不一致</w:t>
            </w:r>
          </w:p>
        </w:tc>
        <w:tc>
          <w:tcPr>
            <w:tcW w:type="dxa" w:w="449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不可变推荐版本，确认绑定具体内容并在提交前重检。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5 2 为什么不是一个万能状态字段</w:t>
      </w:r>
    </w:p>
    <w:p>
      <w:r>
        <w:rPr>
          <w:b w:val="0"/>
        </w:rPr>
        <w:t>排队 DONE 只说明接待完成；受理 SUBMITTED 说明外部接单；安装任务完成又是另一事实。如果合并成一个 completed，统计和异常处理将无法判断哪一部分结束。分别建模会多几个字段，却减少了后续财务、工单与客户记录对同一词的不同理解。</w:t>
      </w:r>
    </w:p>
    <w:p>
      <w:pPr>
        <w:pStyle w:val="Heading2"/>
      </w:pPr>
      <w:r>
        <w:t>5 3 数据库保证与应用检查互补</w:t>
      </w:r>
    </w:p>
    <w:p>
      <w:r>
        <w:rPr>
          <w:b w:val="0"/>
        </w:rPr>
        <w:t>应用检查提供友好错误，数据库唯一约束与锁处理同时到达的请求。依赖“先查是否存在、再插入”而没有数据库约束，在并发下并不可靠。本方案按门店串行叫号，接受少量调度等待，换取清楚的顺序与更小的实现。[S07][S08]</w:t>
      </w:r>
    </w:p>
    <w:p>
      <w:pPr>
        <w:pStyle w:val="Heading2"/>
      </w:pPr>
      <w:r>
        <w:t>5 4 明确保证的边界</w:t>
      </w:r>
    </w:p>
    <w:p>
      <w:r>
        <w:rPr>
          <w:b w:val="0"/>
        </w:rPr>
        <w:t>本系统不宣称分布式“恰好一次”。它依靠本地持久化、对端幂等合同、状态查询与终态保护降低重复和丢失风险；对端不支持这些能力时，需要新的业务恢复方案。第二三阶段新增支付、库存、提成副作用，也要分别定义唯一业务来源与重复安全处理。</w:t>
      </w:r>
    </w:p>
    <w:p>
      <w:r>
        <w:rPr>
          <w:b w:val="0"/>
        </w:rPr>
        <w:t>只有实际外部接口与异常流程需要时才引入补偿任务；不提前搭建分布式事务平台，也不把数据库事务跨越整个 HTTP 请求链。</w:t>
      </w:r>
    </w:p>
    <w:p>
      <w:pPr>
        <w:pStyle w:val="Heading1"/>
        <w:pageBreakBefore/>
      </w:pPr>
      <w:r>
        <w:t>6 固定 AI 流程与双重校验</w:t>
      </w:r>
    </w:p>
    <w:p>
      <w:pPr>
        <w:pStyle w:val="Heading2"/>
      </w:pPr>
      <w:r>
        <w:t>6 1 LangChain 的价值与使用限度</w:t>
      </w:r>
    </w:p>
    <w:p>
      <w:r>
        <w:rPr>
          <w:b w:val="0"/>
        </w:rPr>
        <w:t>用户选择 LangChain，可以用它统一模型调用、提示词变量和结构化输出。其模型接口可在 Agent 之外独立使用，因此一期可以保留这项选型，同时用普通业务函数控制流程。直接使用提供方 SDK 也可实现，但既然已有明确偏好，本项目把 LangChain 限制在薄适配层，降低未来替换成本。[S05]</w:t>
      </w:r>
    </w:p>
    <w:p>
      <w:pPr>
        <w:pStyle w:val="Heading2"/>
      </w:pPr>
      <w:r>
        <w:t>6 2 为什么暂不让模型自由调度</w:t>
      </w:r>
    </w:p>
    <w:p>
      <w:r>
        <w:rPr>
          <w:b w:val="0"/>
        </w:rPr>
        <w:t>推荐流程本身已经清楚：解析需求、检查缺项、筛选候选、计算费用、解释方案、质检、人工确认。自由 Agent 循环会增加不可预测的调用次数、错误路径和成本，却不改善价格与资格判断。固定流程让失败能归到具体环节，并用相同输入比较版本。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41"/>
        <w:gridCol w:w="4349"/>
        <w:gridCol w:w="4104"/>
      </w:tblGrid>
      <w:tr>
        <w:trPr>
          <w:cantSplit/>
          <w:tblHeader/>
        </w:trPr>
        <w:tc>
          <w:tcPr>
            <w:tcW w:type="dxa" w:w="1541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责任</w:t>
            </w:r>
          </w:p>
        </w:tc>
        <w:tc>
          <w:tcPr>
            <w:tcW w:type="dxa" w:w="434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交给程序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交给模型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业务事实</w:t>
            </w:r>
          </w:p>
        </w:tc>
        <w:tc>
          <w:tcPr>
            <w:tcW w:type="dxa" w:w="434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查询账号、政策版本、金额、合约与资格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解释已提供事实，标出需要追问的信息。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方案选择</w:t>
            </w:r>
          </w:p>
        </w:tc>
        <w:tc>
          <w:tcPr>
            <w:tcW w:type="dxa" w:w="434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生成合法候选、计算已知费用、决定是否阻断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结合客户表述说明候选的适用性与限制。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质量检查</w:t>
            </w:r>
          </w:p>
        </w:tc>
        <w:tc>
          <w:tcPr>
            <w:tcW w:type="dxa" w:w="434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核对明确字段与硬条件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发现语义遗漏、歧义与不清楚的表达。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后台改进</w:t>
            </w:r>
          </w:p>
        </w:tc>
        <w:tc>
          <w:tcPr>
            <w:tcW w:type="dxa" w:w="434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计算指标、样本量与可追溯证据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提出可能原因、建议措施与核查问题。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写操作</w:t>
            </w:r>
          </w:p>
        </w:tc>
        <w:tc>
          <w:tcPr>
            <w:tcW w:type="dxa" w:w="434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鉴权、状态迁移、受理与任务确认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不执行最终写入，只给草稿。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6 3 Pydantic 与事实校验缺一不可</w:t>
      </w:r>
    </w:p>
    <w:p>
      <w:r>
        <w:rPr>
          <w:b w:val="0"/>
        </w:rPr>
        <w:t>模型输出即使符合 JSON Schema，也可能引用不存在的套餐、错写金额或编造证据。Pydantic 保证类型和指定约束；业务层核对候选集合、证据归属和费用；人工确认处理需要判断的选择。这三层解决不同问题，不能用其中一层替代其他层。[S03]</w:t>
      </w:r>
    </w:p>
    <w:p>
      <w:pPr>
        <w:pStyle w:val="Heading2"/>
      </w:pPr>
      <w:r>
        <w:t>6 4 检索与质量的代价</w:t>
      </w:r>
    </w:p>
    <w:p>
      <w:r>
        <w:rPr>
          <w:b w:val="0"/>
        </w:rPr>
        <w:t>一期资料主要是结构化套餐与政策，数据库查询已能定位证据。引入向量检索会增加切分、索引、召回及过期版本处理，却不能替代资费计算。后续出现大量长文档时再增加检索，仍保留版本及来源检查。</w:t>
      </w:r>
    </w:p>
    <w:p>
      <w:r>
        <w:rPr>
          <w:b w:val="0"/>
        </w:rPr>
        <w:t>固定流程会限制开放式灵活性，也需要人工准备规则与用例；换来的好处是能明确统计误报、漏报和失败位置。框架选择本身不代表模型效果，所有效果数字必须由实测产生。</w:t>
      </w:r>
    </w:p>
    <w:p>
      <w:pPr>
        <w:pStyle w:val="Heading1"/>
        <w:pageBreakBefore/>
      </w:pPr>
      <w:r>
        <w:t>7 安全与渐进扩展的取舍</w:t>
      </w:r>
    </w:p>
    <w:p>
      <w:pPr>
        <w:pStyle w:val="Heading2"/>
      </w:pPr>
      <w:r>
        <w:t>7 1 为什么使用服务端会话</w:t>
      </w:r>
    </w:p>
    <w:p>
      <w:r>
        <w:rPr>
          <w:b w:val="0"/>
        </w:rPr>
        <w:t>当前是浏览器访问同一站点的内部工作台，服务端会话便于退出、停用和角色变更即时生效。相较自行维护 JWT 刷新、吊销与多端同步，数据库会话更直接。代价是每次鉴权需要查询或复用请求内已解析身份；一期规模可以接受，先不加会话缓存。[S12]</w:t>
      </w:r>
    </w:p>
    <w:p>
      <w:r>
        <w:rPr>
          <w:b w:val="0"/>
        </w:rPr>
        <w:t>Cookie 会话需要 CSRF 与来源校验；选择它并不是消除安全工作。公共屏独立 DTO、按门店授权和最少模型输入分别解决不同暴露面。未来原生客户端或第三方授权需求出现时，再评估标准身份协议，而不是提前自建通用认证平台。[S13]</w:t>
      </w:r>
    </w:p>
    <w:p>
      <w:pPr>
        <w:pStyle w:val="Heading2"/>
      </w:pPr>
      <w:r>
        <w:t>7 2 为什么先不引入 Redis 与任务队列</w:t>
      </w:r>
    </w:p>
    <w:p>
      <w:r>
        <w:rPr>
          <w:b w:val="0"/>
        </w:rPr>
        <w:t>当前数据库已承担会话、幂等键、状态和业务数据，增加 Redis 只会多一个一致性与运行组件。模型辅助先采用有截止时间的请求响应；评测由命令行批次运行并保存进度。必须在进程重启后自动继续的任务出现时，再引入持久队列。FastAPI 的 BackgroundTasks 适合响应后的小任务，不能被当成已具备持久恢复保证。[S11]</w:t>
      </w:r>
    </w:p>
    <w:p>
      <w:pPr>
        <w:pStyle w:val="Heading2"/>
      </w:pPr>
      <w:r>
        <w:t>7 3 扩展性主要放在哪里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275"/>
        <w:gridCol w:w="3917"/>
        <w:gridCol w:w="3802"/>
      </w:tblGrid>
      <w:tr>
        <w:trPr>
          <w:cantSplit/>
          <w:tblHeader/>
        </w:trPr>
        <w:tc>
          <w:tcPr>
            <w:tcW w:type="dxa" w:w="227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现在建立的基础</w:t>
            </w:r>
          </w:p>
        </w:tc>
        <w:tc>
          <w:tcPr>
            <w:tcW w:type="dxa" w:w="391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未来可以承接</w:t>
            </w:r>
          </w:p>
        </w:tc>
        <w:tc>
          <w:tcPr>
            <w:tcW w:type="dxa" w:w="380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何时必须重新评估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客户、账号和服务标识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订单、工单、售后与客户业务关系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实体含义改变或跨主体授权发生变化。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政策版本和事实快照</w:t>
            </w:r>
          </w:p>
        </w:tc>
        <w:tc>
          <w:tcPr>
            <w:tcW w:type="dxa" w:w="391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订单定价、提成依据、对账差异</w:t>
            </w:r>
          </w:p>
        </w:tc>
        <w:tc>
          <w:tcPr>
            <w:tcW w:type="dxa" w:w="380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政策数据来源或收费口径发生变化。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状态、请求键与事件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退款、撤单、重试、异常补偿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外部协议不支持既定的幂等与查询能力。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模块和数据库迁移</w:t>
            </w:r>
          </w:p>
        </w:tc>
        <w:tc>
          <w:tcPr>
            <w:tcW w:type="dxa" w:w="391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逐步增加经营模块与表结构</w:t>
            </w:r>
          </w:p>
        </w:tc>
        <w:tc>
          <w:tcPr>
            <w:tcW w:type="dxa" w:w="380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真实团队边界、独立部署或性能需求明确。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7 4 哪些未来成本仍然存在</w:t>
      </w:r>
    </w:p>
    <w:p>
      <w:r>
        <w:rPr>
          <w:b w:val="0"/>
        </w:rPr>
        <w:t>第二阶段仍需新增订单、库存流水、收款和工单；第三阶段仍需设计异常和结算规则。当前设计保留可复用事实与关联，不承诺免开发扩展。每次增加模块都应验证正常联动，不能把所有集成问题推迟到第三阶段。</w:t>
      </w:r>
    </w:p>
    <w:p>
      <w:r>
        <w:rPr>
          <w:b w:val="0"/>
        </w:rPr>
        <w:t>交付使用 Compose 减少环境差异，但它只负责启动编排，不替代迁移审查、数据备份和业务恢复。组件健康与依赖就绪需要明确设置。[S06][S14]</w:t>
      </w:r>
    </w:p>
    <w:p>
      <w:pPr>
        <w:pStyle w:val="Heading1"/>
        <w:pageBreakBefore/>
      </w:pPr>
      <w:r>
        <w:t>8 决策索引与参考依据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362"/>
        <w:gridCol w:w="4032"/>
        <w:gridCol w:w="3600"/>
      </w:tblGrid>
      <w:tr>
        <w:trPr>
          <w:cantSplit/>
          <w:tblHeader/>
        </w:trPr>
        <w:tc>
          <w:tcPr>
            <w:tcW w:type="dxa" w:w="236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决策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主要理由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重审触发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SPA 与现有组件库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交互型内部工作台，减少重复界面工程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公共内容展示或 SSR 需求。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模块化单体与独立 Mock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控制部署成本，同时检验外部故障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独立团队、明确故障或性能边界。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关系数据与快照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查询统计与历史证据都需要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数据来源或审计要求改变。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状态机与持久幂等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重复请求和超时是实际会发生的问题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真实外部系统合同不同。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固定 AI 流程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可解释、可复核、可比较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开放任务确有增益且可独立评测。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渐进增加经营模块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保持一期独立交付并延续数据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二三期实际业务范围确定。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以下为核对过的官方技术资料，核对日期 2026年10月2日。文中的架构取舍属于本项目设计判断；官方资料用于确认能力和限制，不代表官方为本项目背书。</w:t>
      </w:r>
    </w:p>
    <w:p>
      <w:pPr>
        <w:spacing w:line="260" w:lineRule="exact" w:after="60"/>
      </w:pPr>
      <w:r>
        <w:rPr>
          <w:sz w:val="18"/>
        </w:rPr>
        <w:t xml:space="preserve">[S01]  </w:t>
      </w:r>
      <w:hyperlink r:id="rId11">
        <w:r>
          <w:rPr>
            <w:rFonts w:ascii="Microsoft YaHei" w:hAnsi="Microsoft YaHei" w:eastAsia="Microsoft YaHei"/>
            <w:color w:val="17365D"/>
            <w:sz w:val="18"/>
          </w:rPr>
          <w:t>React 官方  从零构建应用</w:t>
        </w:r>
      </w:hyperlink>
    </w:p>
    <w:p>
      <w:pPr>
        <w:spacing w:line="260" w:lineRule="exact" w:after="60"/>
      </w:pPr>
      <w:r>
        <w:rPr>
          <w:sz w:val="18"/>
        </w:rPr>
        <w:t xml:space="preserve">[S02]  </w:t>
      </w:r>
      <w:hyperlink r:id="rId12">
        <w:r>
          <w:rPr>
            <w:rFonts w:ascii="Microsoft YaHei" w:hAnsi="Microsoft YaHei" w:eastAsia="Microsoft YaHei"/>
            <w:color w:val="17365D"/>
            <w:sz w:val="18"/>
          </w:rPr>
          <w:t>FastAPI 官方  多文件应用与 APIRouter</w:t>
        </w:r>
      </w:hyperlink>
    </w:p>
    <w:p>
      <w:pPr>
        <w:spacing w:line="260" w:lineRule="exact" w:after="60"/>
      </w:pPr>
      <w:r>
        <w:rPr>
          <w:sz w:val="18"/>
        </w:rPr>
        <w:t xml:space="preserve">[S03]  </w:t>
      </w:r>
      <w:hyperlink r:id="rId13">
        <w:r>
          <w:rPr>
            <w:rFonts w:ascii="Microsoft YaHei" w:hAnsi="Microsoft YaHei" w:eastAsia="Microsoft YaHei"/>
            <w:color w:val="17365D"/>
            <w:sz w:val="18"/>
          </w:rPr>
          <w:t>Pydantic 官方  Models 与数据校验</w:t>
        </w:r>
      </w:hyperlink>
    </w:p>
    <w:p>
      <w:pPr>
        <w:spacing w:line="260" w:lineRule="exact" w:after="60"/>
      </w:pPr>
      <w:r>
        <w:rPr>
          <w:sz w:val="18"/>
        </w:rPr>
        <w:t xml:space="preserve">[S04]  </w:t>
      </w:r>
      <w:hyperlink r:id="rId14">
        <w:r>
          <w:rPr>
            <w:rFonts w:ascii="Microsoft YaHei" w:hAnsi="Microsoft YaHei" w:eastAsia="Microsoft YaHei"/>
            <w:color w:val="17365D"/>
            <w:sz w:val="18"/>
          </w:rPr>
          <w:t>SQLAlchemy 官方  异步会话与并发使用</w:t>
        </w:r>
      </w:hyperlink>
    </w:p>
    <w:p>
      <w:pPr>
        <w:spacing w:line="260" w:lineRule="exact" w:after="60"/>
      </w:pPr>
      <w:r>
        <w:rPr>
          <w:sz w:val="18"/>
        </w:rPr>
        <w:t xml:space="preserve">[S05]  </w:t>
      </w:r>
      <w:hyperlink r:id="rId15">
        <w:r>
          <w:rPr>
            <w:rFonts w:ascii="Microsoft YaHei" w:hAnsi="Microsoft YaHei" w:eastAsia="Microsoft YaHei"/>
            <w:color w:val="17365D"/>
            <w:sz w:val="18"/>
          </w:rPr>
          <w:t>LangChain 官方  模型调用与结构化输出</w:t>
        </w:r>
      </w:hyperlink>
    </w:p>
    <w:p>
      <w:pPr>
        <w:spacing w:line="260" w:lineRule="exact" w:after="60"/>
      </w:pPr>
      <w:r>
        <w:rPr>
          <w:sz w:val="18"/>
        </w:rPr>
        <w:t xml:space="preserve">[S06]  </w:t>
      </w:r>
      <w:hyperlink r:id="rId16">
        <w:r>
          <w:rPr>
            <w:rFonts w:ascii="Microsoft YaHei" w:hAnsi="Microsoft YaHei" w:eastAsia="Microsoft YaHei"/>
            <w:color w:val="17365D"/>
            <w:sz w:val="18"/>
          </w:rPr>
          <w:t>Alembic 官方  自动生成迁移的限制</w:t>
        </w:r>
      </w:hyperlink>
    </w:p>
    <w:p>
      <w:pPr>
        <w:spacing w:line="260" w:lineRule="exact" w:after="60"/>
      </w:pPr>
      <w:r>
        <w:rPr>
          <w:sz w:val="18"/>
        </w:rPr>
        <w:t xml:space="preserve">[S07]  </w:t>
      </w:r>
      <w:hyperlink r:id="rId17">
        <w:r>
          <w:rPr>
            <w:rFonts w:ascii="Microsoft YaHei" w:hAnsi="Microsoft YaHei" w:eastAsia="Microsoft YaHei"/>
            <w:color w:val="17365D"/>
            <w:sz w:val="18"/>
          </w:rPr>
          <w:t>PostgreSQL 官方  显式锁与行锁</w:t>
        </w:r>
      </w:hyperlink>
    </w:p>
    <w:p>
      <w:pPr>
        <w:spacing w:line="260" w:lineRule="exact" w:after="60"/>
      </w:pPr>
      <w:r>
        <w:rPr>
          <w:sz w:val="18"/>
        </w:rPr>
        <w:t xml:space="preserve">[S08]  </w:t>
      </w:r>
      <w:hyperlink r:id="rId18">
        <w:r>
          <w:rPr>
            <w:rFonts w:ascii="Microsoft YaHei" w:hAnsi="Microsoft YaHei" w:eastAsia="Microsoft YaHei"/>
            <w:color w:val="17365D"/>
            <w:sz w:val="18"/>
          </w:rPr>
          <w:t>PostgreSQL 官方  数据约束</w:t>
        </w:r>
      </w:hyperlink>
    </w:p>
    <w:p>
      <w:pPr>
        <w:spacing w:line="260" w:lineRule="exact" w:after="60"/>
      </w:pPr>
      <w:r>
        <w:rPr>
          <w:sz w:val="18"/>
        </w:rPr>
        <w:t xml:space="preserve">[S09]  </w:t>
      </w:r>
      <w:hyperlink r:id="rId19">
        <w:r>
          <w:rPr>
            <w:rFonts w:ascii="Microsoft YaHei" w:hAnsi="Microsoft YaHei" w:eastAsia="Microsoft YaHei"/>
            <w:color w:val="17365D"/>
            <w:sz w:val="18"/>
          </w:rPr>
          <w:t>PostgreSQL 官方  JSON 数据类型</w:t>
        </w:r>
      </w:hyperlink>
    </w:p>
    <w:p>
      <w:pPr>
        <w:spacing w:line="260" w:lineRule="exact" w:after="60"/>
      </w:pPr>
      <w:r>
        <w:rPr>
          <w:sz w:val="18"/>
        </w:rPr>
        <w:t xml:space="preserve">[S10]  </w:t>
      </w:r>
      <w:hyperlink r:id="rId20">
        <w:r>
          <w:rPr>
            <w:rFonts w:ascii="Microsoft YaHei" w:hAnsi="Microsoft YaHei" w:eastAsia="Microsoft YaHei"/>
            <w:color w:val="17365D"/>
            <w:sz w:val="18"/>
          </w:rPr>
          <w:t>PostgreSQL 官方  精确数值类型</w:t>
        </w:r>
      </w:hyperlink>
    </w:p>
    <w:p>
      <w:pPr>
        <w:spacing w:line="260" w:lineRule="exact" w:after="60"/>
      </w:pPr>
      <w:r>
        <w:rPr>
          <w:sz w:val="18"/>
        </w:rPr>
        <w:t xml:space="preserve">[S11]  </w:t>
      </w:r>
      <w:hyperlink r:id="rId21">
        <w:r>
          <w:rPr>
            <w:rFonts w:ascii="Microsoft YaHei" w:hAnsi="Microsoft YaHei" w:eastAsia="Microsoft YaHei"/>
            <w:color w:val="17365D"/>
            <w:sz w:val="18"/>
          </w:rPr>
          <w:t>FastAPI 官方  Background Tasks</w:t>
        </w:r>
      </w:hyperlink>
    </w:p>
    <w:p>
      <w:pPr>
        <w:spacing w:line="260" w:lineRule="exact" w:after="60"/>
      </w:pPr>
      <w:r>
        <w:rPr>
          <w:sz w:val="18"/>
        </w:rPr>
        <w:t xml:space="preserve">[S12]  </w:t>
      </w:r>
      <w:hyperlink r:id="rId22">
        <w:r>
          <w:rPr>
            <w:rFonts w:ascii="Microsoft YaHei" w:hAnsi="Microsoft YaHei" w:eastAsia="Microsoft YaHei"/>
            <w:color w:val="17365D"/>
            <w:sz w:val="18"/>
          </w:rPr>
          <w:t>OWASP  会话管理建议</w:t>
        </w:r>
      </w:hyperlink>
    </w:p>
    <w:p>
      <w:pPr>
        <w:spacing w:line="260" w:lineRule="exact" w:after="60"/>
      </w:pPr>
      <w:r>
        <w:rPr>
          <w:sz w:val="18"/>
        </w:rPr>
        <w:t xml:space="preserve">[S13]  </w:t>
      </w:r>
      <w:hyperlink r:id="rId23">
        <w:r>
          <w:rPr>
            <w:rFonts w:ascii="Microsoft YaHei" w:hAnsi="Microsoft YaHei" w:eastAsia="Microsoft YaHei"/>
            <w:color w:val="17365D"/>
            <w:sz w:val="18"/>
          </w:rPr>
          <w:t>OWASP  CSRF 防护建议</w:t>
        </w:r>
      </w:hyperlink>
    </w:p>
    <w:p>
      <w:pPr>
        <w:spacing w:line="260" w:lineRule="exact" w:after="60"/>
      </w:pPr>
      <w:r>
        <w:rPr>
          <w:sz w:val="18"/>
        </w:rPr>
        <w:t xml:space="preserve">[S14]  </w:t>
      </w:r>
      <w:hyperlink r:id="rId24">
        <w:r>
          <w:rPr>
            <w:rFonts w:ascii="Microsoft YaHei" w:hAnsi="Microsoft YaHei" w:eastAsia="Microsoft YaHei"/>
            <w:color w:val="17365D"/>
            <w:sz w:val="18"/>
          </w:rPr>
          <w:t>Docker 官方  Compose 启动依赖与健康检查</w:t>
        </w:r>
      </w:hyperlink>
    </w:p>
    <w:p>
      <w:r>
        <w:rPr>
          <w:b w:val="0"/>
        </w:rPr>
        <w:t>配套阅读顺序：本说明理解取舍 → 技术施工报告落实接口与数据 → Agent 施工规则约束每次修改。需求变化时优先修改相应决策，再同步施工依据，不以文档数量替代可运行结果。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23" w:bottom="1008" w:left="1123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Channel Store ERP    架构设计与技术说明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9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act.dev/learn/build-a-react-app-from-scratch" TargetMode="External"/><Relationship Id="rId12" Type="http://schemas.openxmlformats.org/officeDocument/2006/relationships/hyperlink" Target="https://fastapi.tiangolo.com/tutorial/bigger-applications/" TargetMode="External"/><Relationship Id="rId13" Type="http://schemas.openxmlformats.org/officeDocument/2006/relationships/hyperlink" Target="https://docs.pydantic.dev/latest/concepts/models/" TargetMode="External"/><Relationship Id="rId14" Type="http://schemas.openxmlformats.org/officeDocument/2006/relationships/hyperlink" Target="https://docs.sqlalchemy.org/en/20/orm/extensions/asyncio.html" TargetMode="External"/><Relationship Id="rId15" Type="http://schemas.openxmlformats.org/officeDocument/2006/relationships/hyperlink" Target="https://docs.langchain.com/oss/python/langchain/models" TargetMode="External"/><Relationship Id="rId16" Type="http://schemas.openxmlformats.org/officeDocument/2006/relationships/hyperlink" Target="https://alembic.sqlalchemy.org/en/latest/autogenerate.html" TargetMode="External"/><Relationship Id="rId17" Type="http://schemas.openxmlformats.org/officeDocument/2006/relationships/hyperlink" Target="https://www.postgresql.org/docs/current/explicit-locking.html" TargetMode="External"/><Relationship Id="rId18" Type="http://schemas.openxmlformats.org/officeDocument/2006/relationships/hyperlink" Target="https://www.postgresql.org/docs/current/ddl-constraints.html" TargetMode="External"/><Relationship Id="rId19" Type="http://schemas.openxmlformats.org/officeDocument/2006/relationships/hyperlink" Target="https://www.postgresql.org/docs/current/datatype-json.html" TargetMode="External"/><Relationship Id="rId20" Type="http://schemas.openxmlformats.org/officeDocument/2006/relationships/hyperlink" Target="https://www.postgresql.org/docs/current/datatype-numeric.html" TargetMode="External"/><Relationship Id="rId21" Type="http://schemas.openxmlformats.org/officeDocument/2006/relationships/hyperlink" Target="https://fastapi.tiangolo.com/tutorial/background-tasks/" TargetMode="External"/><Relationship Id="rId22" Type="http://schemas.openxmlformats.org/officeDocument/2006/relationships/hyperlink" Target="https://cheatsheetseries.owasp.org/cheatsheets/Session_Management_Cheat_Sheet.html" TargetMode="External"/><Relationship Id="rId23" Type="http://schemas.openxmlformats.org/officeDocument/2006/relationships/hyperlink" Target="https://cheatsheetseries.owasp.org/cheatsheets/Cross-Site_Request_Forgery_Prevention_Cheat_Sheet.html" TargetMode="External"/><Relationship Id="rId24" Type="http://schemas.openxmlformats.org/officeDocument/2006/relationships/hyperlink" Target="https://docs.docker.com/compose/how-tos/startup-or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软件架构设计与技术选型说明 代理营业厅经营中台  设计理由、代价与调整条件</dc:title>
  <dc:subject>第一阶段独立施工与第二三阶段延续</dc:subject>
  <dc:creator>项目技术规划</dc:creator>
  <cp:keywords/>
  <dc:description>generated by python-docx</dc:description>
  <cp:lastModifiedBy>项目技术规划</cp:lastModifiedBy>
  <cp:revision>1</cp:revision>
  <dcterms:created xsi:type="dcterms:W3CDTF">2026-10-02T00:00:00Z</dcterms:created>
  <dcterms:modified xsi:type="dcterms:W3CDTF">2026-10-02T00:00:00Z</dcterms:modified>
  <cp:category/>
</cp:coreProperties>
</file>