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代理营业厅经营中台</w:t>
      </w:r>
    </w:p>
    <w:p>
      <w:pPr>
        <w:pStyle w:val="Subtitle"/>
      </w:pPr>
      <w:r>
        <w:t>Channel Store ERP 综合项目规划书</w:t>
      </w:r>
    </w:p>
    <w:p>
      <w:r>
        <w:rPr>
          <w:b w:val="0"/>
        </w:rPr>
        <w:t>版本 V1.0    编制日期 2026年10月2日    规划对象 个人模拟 Demo</w:t>
      </w:r>
    </w:p>
    <w:p>
      <w:pPr>
        <w:pStyle w:val="Heading1"/>
      </w:pPr>
      <w:r>
        <w:t>1 项目定位与三阶段路线</w:t>
      </w:r>
    </w:p>
    <w:p>
      <w:r>
        <w:rPr>
          <w:b w:val="0"/>
        </w:rPr>
        <w:t>本项目面向运营商代理营业厅的模拟经营场景，逐步建立客户服务、通信受理、终端与家电进销存、销售收银、安装交付、酬金提成和经营分析的一体化 Demo。AI 作为工作辅助嵌入流程，关键业务状态、费用和资格由程序控制。</w:t>
      </w:r>
    </w:p>
    <w:p>
      <w:r>
        <w:rPr>
          <w:b w:val="0"/>
        </w:rPr>
        <w:t>建设顺序为先完成可独立演示的 AI 服务与质检工作台，再补齐主要门店业务，最后打通组合交易和代表性异常。三阶段沿用同一项目和业务数据，前一阶段交付后可立即用于展示。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800"/>
        <w:gridCol w:w="4565"/>
        <w:gridCol w:w="3629"/>
      </w:tblGrid>
      <w:tr>
        <w:trPr>
          <w:cantSplit/>
          <w:tblHeader/>
        </w:trPr>
        <w:tc>
          <w:tcPr>
            <w:tcW w:type="dxa" w:w="1800"/>
            <w:vAlign w:val="center"/>
            <w:shd w:fill="17365D"/>
          </w:tcPr>
          <w:p>
            <w:pPr>
              <w:spacing w:line="290" w:lineRule="exact" w:after="20" w:before="20"/>
              <w:jc w:val="center"/>
            </w:pPr>
            <w:r>
              <w:rPr>
                <w:rFonts w:ascii="Microsoft YaHei" w:hAnsi="Microsoft YaHei" w:eastAsia="Microsoft YaHei"/>
                <w:b/>
                <w:color w:val="FFFFFF"/>
                <w:sz w:val="21"/>
              </w:rPr>
              <w:t>阶段</w:t>
            </w:r>
          </w:p>
        </w:tc>
        <w:tc>
          <w:tcPr>
            <w:tcW w:type="dxa" w:w="4565"/>
            <w:vAlign w:val="center"/>
            <w:shd w:fill="17365D"/>
          </w:tcPr>
          <w:p>
            <w:pPr>
              <w:spacing w:line="290" w:lineRule="exact" w:after="20" w:before="20"/>
            </w:pPr>
            <w:r>
              <w:rPr>
                <w:rFonts w:ascii="Microsoft YaHei" w:hAnsi="Microsoft YaHei" w:eastAsia="Microsoft YaHei"/>
                <w:b/>
                <w:color w:val="FFFFFF"/>
                <w:sz w:val="21"/>
              </w:rPr>
              <w:t>建设重点</w:t>
            </w:r>
          </w:p>
        </w:tc>
        <w:tc>
          <w:tcPr>
            <w:tcW w:type="dxa" w:w="3629"/>
            <w:vAlign w:val="center"/>
            <w:shd w:fill="17365D"/>
          </w:tcPr>
          <w:p>
            <w:pPr>
              <w:spacing w:line="290" w:lineRule="exact" w:after="20" w:before="20"/>
            </w:pPr>
            <w:r>
              <w:rPr>
                <w:rFonts w:ascii="Microsoft YaHei" w:hAnsi="Microsoft YaHei" w:eastAsia="Microsoft YaHei"/>
                <w:b/>
                <w:color w:val="FFFFFF"/>
                <w:sz w:val="21"/>
              </w:rPr>
              <w:t>完成标准</w:t>
            </w:r>
          </w:p>
        </w:tc>
      </w:tr>
      <w:tr>
        <w:trPr>
          <w:cantSplit/>
        </w:trPr>
        <w:tc>
          <w:tcPr>
            <w:tcW w:type="dxa" w:w="1800"/>
            <w:vAlign w:val="center"/>
            <w:shd w:fill="FFFFFF"/>
          </w:tcPr>
          <w:p>
            <w:pPr>
              <w:spacing w:line="290" w:lineRule="exact" w:after="20" w:before="20"/>
              <w:jc w:val="center"/>
            </w:pPr>
            <w:r>
              <w:rPr>
                <w:rFonts w:ascii="Microsoft YaHei" w:hAnsi="Microsoft YaHei" w:eastAsia="Microsoft YaHei"/>
                <w:b w:val="0"/>
                <w:color w:val="000000"/>
                <w:sz w:val="21"/>
              </w:rPr>
              <w:t>第一阶段</w:t>
              <w:br/>
              <w:t>AI 服务与质检</w:t>
            </w:r>
          </w:p>
        </w:tc>
        <w:tc>
          <w:tcPr>
            <w:tcW w:type="dxa" w:w="4565"/>
            <w:vAlign w:val="center"/>
            <w:shd w:fill="FFFFFF"/>
          </w:tcPr>
          <w:p>
            <w:pPr>
              <w:spacing w:line="290" w:lineRule="exact" w:after="20" w:before="20"/>
            </w:pPr>
            <w:r>
              <w:rPr>
                <w:rFonts w:ascii="Microsoft YaHei" w:hAnsi="Microsoft YaHei" w:eastAsia="Microsoft YaHei"/>
                <w:b w:val="0"/>
                <w:color w:val="000000"/>
                <w:sz w:val="21"/>
              </w:rPr>
              <w:t>号码与合约查询、需求推荐、轻量排队、模拟受理、满意度、后台质检与改进</w:t>
            </w:r>
          </w:p>
        </w:tc>
        <w:tc>
          <w:tcPr>
            <w:tcW w:type="dxa" w:w="3629"/>
            <w:vAlign w:val="center"/>
            <w:shd w:fill="FFFFFF"/>
          </w:tcPr>
          <w:p>
            <w:pPr>
              <w:spacing w:line="290" w:lineRule="exact" w:after="20" w:before="20"/>
            </w:pPr>
            <w:r>
              <w:rPr>
                <w:rFonts w:ascii="Microsoft YaHei" w:hAnsi="Microsoft YaHei" w:eastAsia="Microsoft YaHei"/>
                <w:b w:val="0"/>
                <w:color w:val="000000"/>
                <w:sz w:val="21"/>
              </w:rPr>
              <w:t>跑通一次服务，追溯一次问题，并验证一次版本改进</w:t>
            </w:r>
          </w:p>
        </w:tc>
      </w:tr>
      <w:tr>
        <w:trPr>
          <w:cantSplit/>
        </w:trPr>
        <w:tc>
          <w:tcPr>
            <w:tcW w:type="dxa" w:w="1800"/>
            <w:vAlign w:val="center"/>
            <w:shd w:fill="F3F6F9"/>
          </w:tcPr>
          <w:p>
            <w:pPr>
              <w:spacing w:line="290" w:lineRule="exact" w:after="20" w:before="20"/>
              <w:jc w:val="center"/>
            </w:pPr>
            <w:r>
              <w:rPr>
                <w:rFonts w:ascii="Microsoft YaHei" w:hAnsi="Microsoft YaHei" w:eastAsia="Microsoft YaHei"/>
                <w:b w:val="0"/>
                <w:color w:val="000000"/>
                <w:sz w:val="21"/>
              </w:rPr>
              <w:t>第二阶段</w:t>
              <w:br/>
              <w:t>门店业务齐备</w:t>
            </w:r>
          </w:p>
        </w:tc>
        <w:tc>
          <w:tcPr>
            <w:tcW w:type="dxa" w:w="4565"/>
            <w:vAlign w:val="center"/>
            <w:shd w:fill="F3F6F9"/>
          </w:tcPr>
          <w:p>
            <w:pPr>
              <w:spacing w:line="290" w:lineRule="exact" w:after="20" w:before="20"/>
            </w:pPr>
            <w:r>
              <w:rPr>
                <w:rFonts w:ascii="Microsoft YaHei" w:hAnsi="Microsoft YaHei" w:eastAsia="Microsoft YaHei"/>
                <w:b w:val="0"/>
                <w:color w:val="000000"/>
                <w:sz w:val="21"/>
              </w:rPr>
              <w:t>客户台账、采购库存、销售收银、完整受理、工单、酬金提成、看板及其余 AI 场景</w:t>
            </w:r>
          </w:p>
        </w:tc>
        <w:tc>
          <w:tcPr>
            <w:tcW w:type="dxa" w:w="3629"/>
            <w:vAlign w:val="center"/>
            <w:shd w:fill="F3F6F9"/>
          </w:tcPr>
          <w:p>
            <w:pPr>
              <w:spacing w:line="290" w:lineRule="exact" w:after="20" w:before="20"/>
            </w:pPr>
            <w:r>
              <w:rPr>
                <w:rFonts w:ascii="Microsoft YaHei" w:hAnsi="Microsoft YaHei" w:eastAsia="Microsoft YaHei"/>
                <w:b w:val="0"/>
                <w:color w:val="000000"/>
                <w:sz w:val="21"/>
              </w:rPr>
              <w:t>主要正常流程可操作，订单与货、款、服务相互关联</w:t>
            </w:r>
          </w:p>
        </w:tc>
      </w:tr>
      <w:tr>
        <w:trPr>
          <w:cantSplit/>
        </w:trPr>
        <w:tc>
          <w:tcPr>
            <w:tcW w:type="dxa" w:w="1800"/>
            <w:vAlign w:val="center"/>
            <w:shd w:fill="FFFFFF"/>
          </w:tcPr>
          <w:p>
            <w:pPr>
              <w:spacing w:line="290" w:lineRule="exact" w:after="20" w:before="20"/>
              <w:jc w:val="center"/>
            </w:pPr>
            <w:r>
              <w:rPr>
                <w:rFonts w:ascii="Microsoft YaHei" w:hAnsi="Microsoft YaHei" w:eastAsia="Microsoft YaHei"/>
                <w:b w:val="0"/>
                <w:color w:val="000000"/>
                <w:sz w:val="21"/>
              </w:rPr>
              <w:t>第三阶段</w:t>
              <w:br/>
              <w:t>完整经营闭环</w:t>
            </w:r>
          </w:p>
        </w:tc>
        <w:tc>
          <w:tcPr>
            <w:tcW w:type="dxa" w:w="4565"/>
            <w:vAlign w:val="center"/>
            <w:shd w:fill="FFFFFF"/>
          </w:tcPr>
          <w:p>
            <w:pPr>
              <w:spacing w:line="290" w:lineRule="exact" w:after="20" w:before="20"/>
            </w:pPr>
            <w:r>
              <w:rPr>
                <w:rFonts w:ascii="Microsoft YaHei" w:hAnsi="Microsoft YaHei" w:eastAsia="Microsoft YaHei"/>
                <w:b w:val="0"/>
                <w:color w:val="000000"/>
                <w:sz w:val="21"/>
              </w:rPr>
              <w:t>组合交易、售后退款、跨期结算、跨店调拨、权限审批与复杂异常</w:t>
            </w:r>
          </w:p>
        </w:tc>
        <w:tc>
          <w:tcPr>
            <w:tcW w:type="dxa" w:w="3629"/>
            <w:vAlign w:val="center"/>
            <w:shd w:fill="FFFFFF"/>
          </w:tcPr>
          <w:p>
            <w:pPr>
              <w:spacing w:line="290" w:lineRule="exact" w:after="20" w:before="20"/>
            </w:pPr>
            <w:r>
              <w:rPr>
                <w:rFonts w:ascii="Microsoft YaHei" w:hAnsi="Microsoft YaHei" w:eastAsia="Microsoft YaHei"/>
                <w:b w:val="0"/>
                <w:color w:val="000000"/>
                <w:sz w:val="21"/>
              </w:rPr>
              <w:t>正常业务和选定异常均可处理到结束，账与状态可解释</w:t>
            </w:r>
          </w:p>
        </w:tc>
      </w:tr>
    </w:tbl>
    <w:p>
      <w:pPr>
        <w:spacing w:after="0" w:before="0" w:line="80" w:lineRule="exact"/>
      </w:pPr>
      <w:r>
        <w:rPr>
          <w:sz w:val="6"/>
        </w:rPr>
      </w:r>
    </w:p>
    <w:p>
      <w:pPr>
        <w:pStyle w:val="Heading2"/>
      </w:pPr>
      <w:r>
        <w:t>1 1 项目边界</w:t>
      </w:r>
    </w:p>
    <w:p>
      <w:r>
        <w:rPr>
          <w:b w:val="0"/>
        </w:rPr>
        <w:t>第一阶段按单店规划，第二阶段完成单店正常经营，第三阶段使用一个经营主体和两家模拟门店展示跨店流程。BOSS 接口、支付、账单和客户数据均可控模拟；不承诺真实运营商办理或真实资金结算。</w:t>
      </w:r>
    </w:p>
    <w:p>
      <w:r>
        <w:rPr>
          <w:b w:val="0"/>
        </w:rPr>
        <w:t>“完整”指本规划内关键业务及代表性异常可闭环，不等同于生产级 ERP、完整财务总账或所有省份运营商规则。大规模多租户、真实硬件、全自动营销及复杂 Agent 协作不纳入本轮。</w:t>
      </w:r>
    </w:p>
    <w:p>
      <w:pPr>
        <w:pStyle w:val="Heading2"/>
      </w:pPr>
      <w:r>
        <w:t>1 2 两份规划的关系</w:t>
      </w:r>
    </w:p>
    <w:p>
      <w:r>
        <w:rPr>
          <w:b w:val="0"/>
        </w:rPr>
        <w:t>第一阶段独立规划书用于近期开发和验收；本综合规划书用于控制总体范围、跨阶段依赖和最终验收。第一阶段的功能边界、测试口径和估算与独立版保持一致。</w:t>
      </w:r>
    </w:p>
    <w:p>
      <w:pPr>
        <w:pStyle w:val="Heading1"/>
        <w:pageBreakBefore/>
      </w:pPr>
      <w:r>
        <w:t>2 业务蓝图与端到端流程</w:t>
      </w:r>
    </w:p>
    <w:p>
      <w:pPr>
        <w:pStyle w:val="Heading2"/>
      </w:pPr>
      <w:r>
        <w:t>2 1 角色与工作区域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800"/>
        <w:gridCol w:w="4464"/>
        <w:gridCol w:w="3730"/>
      </w:tblGrid>
      <w:tr>
        <w:trPr>
          <w:cantSplit/>
          <w:tblHeader/>
        </w:trPr>
        <w:tc>
          <w:tcPr>
            <w:tcW w:type="dxa" w:w="1800"/>
            <w:vAlign w:val="center"/>
            <w:shd w:fill="17365D"/>
          </w:tcPr>
          <w:p>
            <w:pPr>
              <w:spacing w:line="290" w:lineRule="exact" w:after="20" w:before="20"/>
              <w:jc w:val="center"/>
            </w:pPr>
            <w:r>
              <w:rPr>
                <w:rFonts w:ascii="Microsoft YaHei" w:hAnsi="Microsoft YaHei" w:eastAsia="Microsoft YaHei"/>
                <w:b/>
                <w:color w:val="FFFFFF"/>
                <w:sz w:val="21"/>
              </w:rPr>
              <w:t>角色</w:t>
            </w:r>
          </w:p>
        </w:tc>
        <w:tc>
          <w:tcPr>
            <w:tcW w:type="dxa" w:w="4464"/>
            <w:vAlign w:val="center"/>
            <w:shd w:fill="17365D"/>
          </w:tcPr>
          <w:p>
            <w:pPr>
              <w:spacing w:line="290" w:lineRule="exact" w:after="20" w:before="20"/>
            </w:pPr>
            <w:r>
              <w:rPr>
                <w:rFonts w:ascii="Microsoft YaHei" w:hAnsi="Microsoft YaHei" w:eastAsia="Microsoft YaHei"/>
                <w:b/>
                <w:color w:val="FFFFFF"/>
                <w:sz w:val="21"/>
              </w:rPr>
              <w:t>业务职责</w:t>
            </w:r>
          </w:p>
        </w:tc>
        <w:tc>
          <w:tcPr>
            <w:tcW w:type="dxa" w:w="3730"/>
            <w:vAlign w:val="center"/>
            <w:shd w:fill="17365D"/>
          </w:tcPr>
          <w:p>
            <w:pPr>
              <w:spacing w:line="290" w:lineRule="exact" w:after="20" w:before="20"/>
            </w:pPr>
            <w:r>
              <w:rPr>
                <w:rFonts w:ascii="Microsoft YaHei" w:hAnsi="Microsoft YaHei" w:eastAsia="Microsoft YaHei"/>
                <w:b/>
                <w:color w:val="FFFFFF"/>
                <w:sz w:val="21"/>
              </w:rPr>
              <w:t>主要入口</w:t>
            </w:r>
          </w:p>
        </w:tc>
      </w:tr>
      <w:tr>
        <w:trPr>
          <w:cantSplit/>
        </w:trPr>
        <w:tc>
          <w:tcPr>
            <w:tcW w:type="dxa" w:w="1800"/>
            <w:vAlign w:val="center"/>
            <w:shd w:fill="FFFFFF"/>
          </w:tcPr>
          <w:p>
            <w:pPr>
              <w:spacing w:line="290" w:lineRule="exact" w:after="20" w:before="20"/>
              <w:jc w:val="center"/>
            </w:pPr>
            <w:r>
              <w:rPr>
                <w:rFonts w:ascii="Microsoft YaHei" w:hAnsi="Microsoft YaHei" w:eastAsia="Microsoft YaHei"/>
                <w:b w:val="0"/>
                <w:color w:val="000000"/>
                <w:sz w:val="21"/>
              </w:rPr>
              <w:t>客户</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取号、确认需求、评价服务</w:t>
            </w:r>
          </w:p>
        </w:tc>
        <w:tc>
          <w:tcPr>
            <w:tcW w:type="dxa" w:w="3730"/>
            <w:vAlign w:val="center"/>
            <w:shd w:fill="FFFFFF"/>
          </w:tcPr>
          <w:p>
            <w:pPr>
              <w:spacing w:line="290" w:lineRule="exact" w:after="20" w:before="20"/>
            </w:pPr>
            <w:r>
              <w:rPr>
                <w:rFonts w:ascii="Microsoft YaHei" w:hAnsi="Microsoft YaHei" w:eastAsia="Microsoft YaHei"/>
                <w:b w:val="0"/>
                <w:color w:val="000000"/>
                <w:sz w:val="21"/>
              </w:rPr>
              <w:t>客户入口与公共叫号屏</w:t>
            </w:r>
          </w:p>
        </w:tc>
      </w:tr>
      <w:tr>
        <w:trPr>
          <w:cantSplit/>
        </w:trPr>
        <w:tc>
          <w:tcPr>
            <w:tcW w:type="dxa" w:w="1800"/>
            <w:vAlign w:val="center"/>
            <w:shd w:fill="F3F6F9"/>
          </w:tcPr>
          <w:p>
            <w:pPr>
              <w:spacing w:line="290" w:lineRule="exact" w:after="20" w:before="20"/>
              <w:jc w:val="center"/>
            </w:pPr>
            <w:r>
              <w:rPr>
                <w:rFonts w:ascii="Microsoft YaHei" w:hAnsi="Microsoft YaHei" w:eastAsia="Microsoft YaHei"/>
                <w:b w:val="0"/>
                <w:color w:val="000000"/>
                <w:sz w:val="21"/>
              </w:rPr>
              <w:t>店员或收银员</w:t>
            </w:r>
          </w:p>
        </w:tc>
        <w:tc>
          <w:tcPr>
            <w:tcW w:type="dxa" w:w="4464"/>
            <w:vAlign w:val="center"/>
            <w:shd w:fill="F3F6F9"/>
          </w:tcPr>
          <w:p>
            <w:pPr>
              <w:spacing w:line="290" w:lineRule="exact" w:after="20" w:before="20"/>
            </w:pPr>
            <w:r>
              <w:rPr>
                <w:rFonts w:ascii="Microsoft YaHei" w:hAnsi="Microsoft YaHei" w:eastAsia="Microsoft YaHei"/>
                <w:b w:val="0"/>
                <w:color w:val="000000"/>
                <w:sz w:val="21"/>
              </w:rPr>
              <w:t>咨询、销售、业务受理、收款与交接</w:t>
            </w:r>
          </w:p>
        </w:tc>
        <w:tc>
          <w:tcPr>
            <w:tcW w:type="dxa" w:w="3730"/>
            <w:vAlign w:val="center"/>
            <w:shd w:fill="F3F6F9"/>
          </w:tcPr>
          <w:p>
            <w:pPr>
              <w:spacing w:line="290" w:lineRule="exact" w:after="20" w:before="20"/>
            </w:pPr>
            <w:r>
              <w:rPr>
                <w:rFonts w:ascii="Microsoft YaHei" w:hAnsi="Microsoft YaHei" w:eastAsia="Microsoft YaHei"/>
                <w:b w:val="0"/>
                <w:color w:val="000000"/>
                <w:sz w:val="21"/>
              </w:rPr>
              <w:t>服务工作台、订单与收银</w:t>
            </w:r>
          </w:p>
        </w:tc>
      </w:tr>
      <w:tr>
        <w:trPr>
          <w:cantSplit/>
        </w:trPr>
        <w:tc>
          <w:tcPr>
            <w:tcW w:type="dxa" w:w="1800"/>
            <w:vAlign w:val="center"/>
            <w:shd w:fill="FFFFFF"/>
          </w:tcPr>
          <w:p>
            <w:pPr>
              <w:spacing w:line="290" w:lineRule="exact" w:after="20" w:before="20"/>
              <w:jc w:val="center"/>
            </w:pPr>
            <w:r>
              <w:rPr>
                <w:rFonts w:ascii="Microsoft YaHei" w:hAnsi="Microsoft YaHei" w:eastAsia="Microsoft YaHei"/>
                <w:b w:val="0"/>
                <w:color w:val="000000"/>
                <w:sz w:val="21"/>
              </w:rPr>
              <w:t>店长</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资料审核、业务审批、问题改进、门店分析</w:t>
            </w:r>
          </w:p>
        </w:tc>
        <w:tc>
          <w:tcPr>
            <w:tcW w:type="dxa" w:w="3730"/>
            <w:vAlign w:val="center"/>
            <w:shd w:fill="FFFFFF"/>
          </w:tcPr>
          <w:p>
            <w:pPr>
              <w:spacing w:line="290" w:lineRule="exact" w:after="20" w:before="20"/>
            </w:pPr>
            <w:r>
              <w:rPr>
                <w:rFonts w:ascii="Microsoft YaHei" w:hAnsi="Microsoft YaHei" w:eastAsia="Microsoft YaHei"/>
                <w:b w:val="0"/>
                <w:color w:val="000000"/>
                <w:sz w:val="21"/>
              </w:rPr>
              <w:t>管理工作台与统一待办</w:t>
            </w:r>
          </w:p>
        </w:tc>
      </w:tr>
      <w:tr>
        <w:trPr>
          <w:cantSplit/>
        </w:trPr>
        <w:tc>
          <w:tcPr>
            <w:tcW w:type="dxa" w:w="1800"/>
            <w:vAlign w:val="center"/>
            <w:shd w:fill="F3F6F9"/>
          </w:tcPr>
          <w:p>
            <w:pPr>
              <w:spacing w:line="290" w:lineRule="exact" w:after="20" w:before="20"/>
              <w:jc w:val="center"/>
            </w:pPr>
            <w:r>
              <w:rPr>
                <w:rFonts w:ascii="Microsoft YaHei" w:hAnsi="Microsoft YaHei" w:eastAsia="Microsoft YaHei"/>
                <w:b w:val="0"/>
                <w:color w:val="000000"/>
                <w:sz w:val="21"/>
              </w:rPr>
              <w:t>库管</w:t>
            </w:r>
          </w:p>
        </w:tc>
        <w:tc>
          <w:tcPr>
            <w:tcW w:type="dxa" w:w="4464"/>
            <w:vAlign w:val="center"/>
            <w:shd w:fill="F3F6F9"/>
          </w:tcPr>
          <w:p>
            <w:pPr>
              <w:spacing w:line="290" w:lineRule="exact" w:after="20" w:before="20"/>
            </w:pPr>
            <w:r>
              <w:rPr>
                <w:rFonts w:ascii="Microsoft YaHei" w:hAnsi="Microsoft YaHei" w:eastAsia="Microsoft YaHei"/>
                <w:b w:val="0"/>
                <w:color w:val="000000"/>
                <w:sz w:val="21"/>
              </w:rPr>
              <w:t>到货入库、出库、盘点及调拨</w:t>
            </w:r>
          </w:p>
        </w:tc>
        <w:tc>
          <w:tcPr>
            <w:tcW w:type="dxa" w:w="3730"/>
            <w:vAlign w:val="center"/>
            <w:shd w:fill="F3F6F9"/>
          </w:tcPr>
          <w:p>
            <w:pPr>
              <w:spacing w:line="290" w:lineRule="exact" w:after="20" w:before="20"/>
            </w:pPr>
            <w:r>
              <w:rPr>
                <w:rFonts w:ascii="Microsoft YaHei" w:hAnsi="Microsoft YaHei" w:eastAsia="Microsoft YaHei"/>
                <w:b w:val="0"/>
                <w:color w:val="000000"/>
                <w:sz w:val="21"/>
              </w:rPr>
              <w:t>采购和库存</w:t>
            </w:r>
          </w:p>
        </w:tc>
      </w:tr>
      <w:tr>
        <w:trPr>
          <w:cantSplit/>
        </w:trPr>
        <w:tc>
          <w:tcPr>
            <w:tcW w:type="dxa" w:w="1800"/>
            <w:vAlign w:val="center"/>
            <w:shd w:fill="FFFFFF"/>
          </w:tcPr>
          <w:p>
            <w:pPr>
              <w:spacing w:line="290" w:lineRule="exact" w:after="20" w:before="20"/>
              <w:jc w:val="center"/>
            </w:pPr>
            <w:r>
              <w:rPr>
                <w:rFonts w:ascii="Microsoft YaHei" w:hAnsi="Microsoft YaHei" w:eastAsia="Microsoft YaHei"/>
                <w:b w:val="0"/>
                <w:color w:val="000000"/>
                <w:sz w:val="21"/>
              </w:rPr>
              <w:t>安装人员</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预约接单、领料、上门记录、验收</w:t>
            </w:r>
          </w:p>
        </w:tc>
        <w:tc>
          <w:tcPr>
            <w:tcW w:type="dxa" w:w="3730"/>
            <w:vAlign w:val="center"/>
            <w:shd w:fill="FFFFFF"/>
          </w:tcPr>
          <w:p>
            <w:pPr>
              <w:spacing w:line="290" w:lineRule="exact" w:after="20" w:before="20"/>
            </w:pPr>
            <w:r>
              <w:rPr>
                <w:rFonts w:ascii="Microsoft YaHei" w:hAnsi="Microsoft YaHei" w:eastAsia="Microsoft YaHei"/>
                <w:b w:val="0"/>
                <w:color w:val="000000"/>
                <w:sz w:val="21"/>
              </w:rPr>
              <w:t>安装工单</w:t>
            </w:r>
          </w:p>
        </w:tc>
      </w:tr>
      <w:tr>
        <w:trPr>
          <w:cantSplit/>
        </w:trPr>
        <w:tc>
          <w:tcPr>
            <w:tcW w:type="dxa" w:w="1800"/>
            <w:vAlign w:val="center"/>
            <w:shd w:fill="F3F6F9"/>
          </w:tcPr>
          <w:p>
            <w:pPr>
              <w:spacing w:line="290" w:lineRule="exact" w:after="20" w:before="20"/>
              <w:jc w:val="center"/>
            </w:pPr>
            <w:r>
              <w:rPr>
                <w:rFonts w:ascii="Microsoft YaHei" w:hAnsi="Microsoft YaHei" w:eastAsia="Microsoft YaHei"/>
                <w:b w:val="0"/>
                <w:color w:val="000000"/>
                <w:sz w:val="21"/>
              </w:rPr>
              <w:t>财务</w:t>
            </w:r>
          </w:p>
        </w:tc>
        <w:tc>
          <w:tcPr>
            <w:tcW w:type="dxa" w:w="4464"/>
            <w:vAlign w:val="center"/>
            <w:shd w:fill="F3F6F9"/>
          </w:tcPr>
          <w:p>
            <w:pPr>
              <w:spacing w:line="290" w:lineRule="exact" w:after="20" w:before="20"/>
            </w:pPr>
            <w:r>
              <w:rPr>
                <w:rFonts w:ascii="Microsoft YaHei" w:hAnsi="Microsoft YaHei" w:eastAsia="Microsoft YaHei"/>
                <w:b w:val="0"/>
                <w:color w:val="000000"/>
                <w:sz w:val="21"/>
              </w:rPr>
              <w:t>日结核对、酬金账单、提成结算和差异处理</w:t>
            </w:r>
          </w:p>
        </w:tc>
        <w:tc>
          <w:tcPr>
            <w:tcW w:type="dxa" w:w="3730"/>
            <w:vAlign w:val="center"/>
            <w:shd w:fill="F3F6F9"/>
          </w:tcPr>
          <w:p>
            <w:pPr>
              <w:spacing w:line="290" w:lineRule="exact" w:after="20" w:before="20"/>
            </w:pPr>
            <w:r>
              <w:rPr>
                <w:rFonts w:ascii="Microsoft YaHei" w:hAnsi="Microsoft YaHei" w:eastAsia="Microsoft YaHei"/>
                <w:b w:val="0"/>
                <w:color w:val="000000"/>
                <w:sz w:val="21"/>
              </w:rPr>
              <w:t>资金与结算台账</w:t>
            </w:r>
          </w:p>
        </w:tc>
      </w:tr>
    </w:tbl>
    <w:p>
      <w:pPr>
        <w:spacing w:after="0" w:before="0" w:line="80" w:lineRule="exact"/>
      </w:pPr>
      <w:r>
        <w:rPr>
          <w:sz w:val="6"/>
        </w:rPr>
      </w:r>
    </w:p>
    <w:p>
      <w:pPr>
        <w:pStyle w:val="Heading2"/>
      </w:pPr>
      <w:r>
        <w:t>2 2 三条贯穿业务的主线</w:t>
      </w:r>
    </w:p>
    <w:p>
      <w:r>
        <w:rPr>
          <w:b w:val="0"/>
        </w:rPr>
        <w:t>客户服务主线：到店分流取号，店员查询账号与合约，AI 辅助解释方案，人工确认，提交业务或服务任务，完成服务并评价，后台复盘与改进。第一阶段交付这条主线。</w:t>
      </w:r>
    </w:p>
    <w:p>
      <w:r>
        <w:rPr>
          <w:b w:val="0"/>
        </w:rPr>
        <w:t>门店交易主线：采购到货形成可用库存，销售订单计算优惠并模拟收款，按商品出库或按通信业务受理，产生安装任务，完成交付后进入收益与提成台账。第二阶段打通正常路径。</w:t>
      </w:r>
    </w:p>
    <w:p>
      <w:r>
        <w:rPr>
          <w:b w:val="0"/>
        </w:rPr>
        <w:t>异常收尾主线：发现失败、退款、差异或缺货后，关联原单建立处理任务，经权限校验或审批，执行补办、退货、退款、冲销或重派，复核结果后关闭。第三阶段完成选定复杂路径。</w:t>
      </w:r>
    </w:p>
    <w:p>
      <w:pPr>
        <w:pStyle w:val="Heading2"/>
      </w:pPr>
      <w:r>
        <w:t>2 3 共同数据基础</w:t>
      </w:r>
    </w:p>
    <w:p>
      <w:r>
        <w:rPr>
          <w:b w:val="0"/>
        </w:rPr>
        <w:t>客户、业务账号、产品政策和门店人员为基础资料；服务记录承载咨询过程；交易记录关联销售、通信受理、安装、收付款及售后。各对象保留独立状态，不能用一个“已完成”代表所有业务均结束。</w:t>
      </w:r>
    </w:p>
    <w:p>
      <w:r>
        <w:rPr>
          <w:b w:val="0"/>
        </w:rPr>
        <w:t>业务发生时保存价格、合约、活动和提成规则快照。跨模块记录使用稳定标识关联，历史记录不随当前政策修改。所有 AI 建议进入现有业务入口，执行权限与人工操作保持一致。</w:t>
      </w:r>
    </w:p>
    <w:p>
      <w:pPr>
        <w:pStyle w:val="Heading1"/>
        <w:pageBreakBefore/>
      </w:pPr>
      <w:r>
        <w:t>3 第一阶段独立 AI 工作台</w:t>
      </w:r>
    </w:p>
    <w:p>
      <w:pPr>
        <w:pStyle w:val="Heading2"/>
      </w:pPr>
      <w:r>
        <w:t>3 1 本期范围</w:t>
      </w:r>
    </w:p>
    <w:p>
      <w:r>
        <w:rPr>
          <w:b w:val="0"/>
        </w:rPr>
        <w:t>第一阶段围绕一次服务完成查询、需求分析、推荐、质检、确认、模拟受理、评价和改进。客户入口、店员工作台和管理入口处于同一系统，使用同一服务记录追溯结果。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814"/>
        <w:gridCol w:w="8179"/>
      </w:tblGrid>
      <w:tr>
        <w:trPr>
          <w:cantSplit/>
          <w:tblHeader/>
        </w:trPr>
        <w:tc>
          <w:tcPr>
            <w:tcW w:type="dxa" w:w="1814"/>
            <w:vAlign w:val="center"/>
            <w:shd w:fill="17365D"/>
          </w:tcPr>
          <w:p>
            <w:pPr>
              <w:spacing w:line="290" w:lineRule="exact" w:after="20" w:before="20"/>
            </w:pPr>
            <w:r>
              <w:rPr>
                <w:rFonts w:ascii="Microsoft YaHei" w:hAnsi="Microsoft YaHei" w:eastAsia="Microsoft YaHei"/>
                <w:b/>
                <w:color w:val="FFFFFF"/>
                <w:sz w:val="21"/>
              </w:rPr>
              <w:t>能力</w:t>
            </w:r>
          </w:p>
        </w:tc>
        <w:tc>
          <w:tcPr>
            <w:tcW w:type="dxa" w:w="8179"/>
            <w:vAlign w:val="center"/>
            <w:shd w:fill="17365D"/>
          </w:tcPr>
          <w:p>
            <w:pPr>
              <w:spacing w:line="290" w:lineRule="exact" w:after="20" w:before="20"/>
            </w:pPr>
            <w:r>
              <w:rPr>
                <w:rFonts w:ascii="Microsoft YaHei" w:hAnsi="Microsoft YaHei" w:eastAsia="Microsoft YaHei"/>
                <w:b/>
                <w:color w:val="FFFFFF"/>
                <w:sz w:val="21"/>
              </w:rPr>
              <w:t>本期最小实现</w:t>
            </w:r>
          </w:p>
        </w:tc>
      </w:tr>
      <w:tr>
        <w:trPr>
          <w:cantSplit/>
        </w:trPr>
        <w:tc>
          <w:tcPr>
            <w:tcW w:type="dxa" w:w="1814"/>
            <w:vAlign w:val="center"/>
            <w:shd w:fill="FFFFFF"/>
          </w:tcPr>
          <w:p>
            <w:pPr>
              <w:spacing w:line="290" w:lineRule="exact" w:after="20" w:before="20"/>
            </w:pPr>
            <w:r>
              <w:rPr>
                <w:rFonts w:ascii="Microsoft YaHei" w:hAnsi="Microsoft YaHei" w:eastAsia="Microsoft YaHei"/>
                <w:b w:val="0"/>
                <w:color w:val="000000"/>
                <w:sz w:val="21"/>
              </w:rPr>
              <w:t>业务查询</w:t>
            </w:r>
          </w:p>
        </w:tc>
        <w:tc>
          <w:tcPr>
            <w:tcW w:type="dxa" w:w="8179"/>
            <w:vAlign w:val="center"/>
            <w:shd w:fill="FFFFFF"/>
          </w:tcPr>
          <w:p>
            <w:pPr>
              <w:spacing w:line="290" w:lineRule="exact" w:after="20" w:before="20"/>
            </w:pPr>
            <w:r>
              <w:rPr>
                <w:rFonts w:ascii="Microsoft YaHei" w:hAnsi="Microsoft YaHei" w:eastAsia="Microsoft YaHei"/>
                <w:b w:val="0"/>
                <w:color w:val="000000"/>
                <w:sz w:val="21"/>
              </w:rPr>
              <w:t>依据模拟号码显示套餐、费用、宽带、合约、限制、来源和更新时间</w:t>
            </w:r>
          </w:p>
        </w:tc>
      </w:tr>
      <w:tr>
        <w:trPr>
          <w:cantSplit/>
        </w:trPr>
        <w:tc>
          <w:tcPr>
            <w:tcW w:type="dxa" w:w="1814"/>
            <w:vAlign w:val="center"/>
            <w:shd w:fill="F3F6F9"/>
          </w:tcPr>
          <w:p>
            <w:pPr>
              <w:spacing w:line="290" w:lineRule="exact" w:after="20" w:before="20"/>
            </w:pPr>
            <w:r>
              <w:rPr>
                <w:rFonts w:ascii="Microsoft YaHei" w:hAnsi="Microsoft YaHei" w:eastAsia="Microsoft YaHei"/>
                <w:b w:val="0"/>
                <w:color w:val="000000"/>
                <w:sz w:val="21"/>
              </w:rPr>
              <w:t>前台 AI</w:t>
            </w:r>
          </w:p>
        </w:tc>
        <w:tc>
          <w:tcPr>
            <w:tcW w:type="dxa" w:w="8179"/>
            <w:vAlign w:val="center"/>
            <w:shd w:fill="F3F6F9"/>
          </w:tcPr>
          <w:p>
            <w:pPr>
              <w:spacing w:line="290" w:lineRule="exact" w:after="20" w:before="20"/>
            </w:pPr>
            <w:r>
              <w:rPr>
                <w:rFonts w:ascii="Microsoft YaHei" w:hAnsi="Microsoft YaHei" w:eastAsia="Microsoft YaHei"/>
                <w:b w:val="0"/>
                <w:color w:val="000000"/>
                <w:sz w:val="21"/>
              </w:rPr>
              <w:t>拆解需求、补问缺失项、解释候选方案，支持保留套餐与转服务</w:t>
            </w:r>
          </w:p>
        </w:tc>
      </w:tr>
      <w:tr>
        <w:trPr>
          <w:cantSplit/>
        </w:trPr>
        <w:tc>
          <w:tcPr>
            <w:tcW w:type="dxa" w:w="1814"/>
            <w:vAlign w:val="center"/>
            <w:shd w:fill="FFFFFF"/>
          </w:tcPr>
          <w:p>
            <w:pPr>
              <w:spacing w:line="290" w:lineRule="exact" w:after="20" w:before="20"/>
            </w:pPr>
            <w:r>
              <w:rPr>
                <w:rFonts w:ascii="Microsoft YaHei" w:hAnsi="Microsoft YaHei" w:eastAsia="Microsoft YaHei"/>
                <w:b w:val="0"/>
                <w:color w:val="000000"/>
                <w:sz w:val="21"/>
              </w:rPr>
              <w:t>规则与质检</w:t>
            </w:r>
          </w:p>
        </w:tc>
        <w:tc>
          <w:tcPr>
            <w:tcW w:type="dxa" w:w="8179"/>
            <w:vAlign w:val="center"/>
            <w:shd w:fill="FFFFFF"/>
          </w:tcPr>
          <w:p>
            <w:pPr>
              <w:spacing w:line="290" w:lineRule="exact" w:after="20" w:before="20"/>
            </w:pPr>
            <w:r>
              <w:rPr>
                <w:rFonts w:ascii="Microsoft YaHei" w:hAnsi="Microsoft YaHei" w:eastAsia="Microsoft YaHei"/>
                <w:b w:val="0"/>
                <w:color w:val="000000"/>
                <w:sz w:val="21"/>
              </w:rPr>
              <w:t>校验价格、有效期、资格和条件；定位问题、展示依据、人工复核</w:t>
            </w:r>
          </w:p>
        </w:tc>
      </w:tr>
      <w:tr>
        <w:trPr>
          <w:cantSplit/>
        </w:trPr>
        <w:tc>
          <w:tcPr>
            <w:tcW w:type="dxa" w:w="1814"/>
            <w:vAlign w:val="center"/>
            <w:shd w:fill="F3F6F9"/>
          </w:tcPr>
          <w:p>
            <w:pPr>
              <w:spacing w:line="290" w:lineRule="exact" w:after="20" w:before="20"/>
            </w:pPr>
            <w:r>
              <w:rPr>
                <w:rFonts w:ascii="Microsoft YaHei" w:hAnsi="Microsoft YaHei" w:eastAsia="Microsoft YaHei"/>
                <w:b w:val="0"/>
                <w:color w:val="000000"/>
                <w:sz w:val="21"/>
              </w:rPr>
              <w:t>轻量排队</w:t>
            </w:r>
          </w:p>
        </w:tc>
        <w:tc>
          <w:tcPr>
            <w:tcW w:type="dxa" w:w="8179"/>
            <w:vAlign w:val="center"/>
            <w:shd w:fill="F3F6F9"/>
          </w:tcPr>
          <w:p>
            <w:pPr>
              <w:spacing w:line="290" w:lineRule="exact" w:after="20" w:before="20"/>
            </w:pPr>
            <w:r>
              <w:rPr>
                <w:rFonts w:ascii="Microsoft YaHei" w:hAnsi="Microsoft YaHei" w:eastAsia="Microsoft YaHei"/>
                <w:b w:val="0"/>
                <w:color w:val="000000"/>
                <w:sz w:val="21"/>
              </w:rPr>
              <w:t>需求分类、适用窗口、按规则叫号，支持取消、过号及人工调整留痕</w:t>
            </w:r>
          </w:p>
        </w:tc>
      </w:tr>
      <w:tr>
        <w:trPr>
          <w:cantSplit/>
        </w:trPr>
        <w:tc>
          <w:tcPr>
            <w:tcW w:type="dxa" w:w="1814"/>
            <w:vAlign w:val="center"/>
            <w:shd w:fill="FFFFFF"/>
          </w:tcPr>
          <w:p>
            <w:pPr>
              <w:spacing w:line="290" w:lineRule="exact" w:after="20" w:before="20"/>
            </w:pPr>
            <w:r>
              <w:rPr>
                <w:rFonts w:ascii="Microsoft YaHei" w:hAnsi="Microsoft YaHei" w:eastAsia="Microsoft YaHei"/>
                <w:b w:val="0"/>
                <w:color w:val="000000"/>
                <w:sz w:val="21"/>
              </w:rPr>
              <w:t>模拟受理</w:t>
            </w:r>
          </w:p>
        </w:tc>
        <w:tc>
          <w:tcPr>
            <w:tcW w:type="dxa" w:w="8179"/>
            <w:vAlign w:val="center"/>
            <w:shd w:fill="FFFFFF"/>
          </w:tcPr>
          <w:p>
            <w:pPr>
              <w:spacing w:line="290" w:lineRule="exact" w:after="20" w:before="20"/>
            </w:pPr>
            <w:r>
              <w:rPr>
                <w:rFonts w:ascii="Microsoft YaHei" w:hAnsi="Microsoft YaHei" w:eastAsia="Microsoft YaHei"/>
                <w:b w:val="0"/>
                <w:color w:val="000000"/>
                <w:sz w:val="21"/>
              </w:rPr>
              <w:t>确认后建单、返回模拟外部号、查询状态，失败和超时可核查</w:t>
            </w:r>
          </w:p>
        </w:tc>
      </w:tr>
      <w:tr>
        <w:trPr>
          <w:cantSplit/>
        </w:trPr>
        <w:tc>
          <w:tcPr>
            <w:tcW w:type="dxa" w:w="1814"/>
            <w:vAlign w:val="center"/>
            <w:shd w:fill="F3F6F9"/>
          </w:tcPr>
          <w:p>
            <w:pPr>
              <w:spacing w:line="290" w:lineRule="exact" w:after="20" w:before="20"/>
            </w:pPr>
            <w:r>
              <w:rPr>
                <w:rFonts w:ascii="Microsoft YaHei" w:hAnsi="Microsoft YaHei" w:eastAsia="Microsoft YaHei"/>
                <w:b w:val="0"/>
                <w:color w:val="000000"/>
                <w:sz w:val="21"/>
              </w:rPr>
              <w:t>满意度与复盘</w:t>
            </w:r>
          </w:p>
        </w:tc>
        <w:tc>
          <w:tcPr>
            <w:tcW w:type="dxa" w:w="8179"/>
            <w:vAlign w:val="center"/>
            <w:shd w:fill="F3F6F9"/>
          </w:tcPr>
          <w:p>
            <w:pPr>
              <w:spacing w:line="290" w:lineRule="exact" w:after="20" w:before="20"/>
            </w:pPr>
            <w:r>
              <w:rPr>
                <w:rFonts w:ascii="Microsoft YaHei" w:hAnsi="Microsoft YaHei" w:eastAsia="Microsoft YaHei"/>
                <w:b w:val="0"/>
                <w:color w:val="000000"/>
                <w:sz w:val="21"/>
              </w:rPr>
              <w:t>评价绑定本次服务，统计样本量与时长，建议转可验证的改进任务</w:t>
            </w:r>
          </w:p>
        </w:tc>
      </w:tr>
      <w:tr>
        <w:trPr>
          <w:cantSplit/>
        </w:trPr>
        <w:tc>
          <w:tcPr>
            <w:tcW w:type="dxa" w:w="1814"/>
            <w:vAlign w:val="center"/>
            <w:shd w:fill="FFFFFF"/>
          </w:tcPr>
          <w:p>
            <w:pPr>
              <w:spacing w:line="290" w:lineRule="exact" w:after="20" w:before="20"/>
            </w:pPr>
            <w:r>
              <w:rPr>
                <w:rFonts w:ascii="Microsoft YaHei" w:hAnsi="Microsoft YaHei" w:eastAsia="Microsoft YaHei"/>
                <w:b w:val="0"/>
                <w:color w:val="000000"/>
                <w:sz w:val="21"/>
              </w:rPr>
              <w:t>场景与评测</w:t>
            </w:r>
          </w:p>
        </w:tc>
        <w:tc>
          <w:tcPr>
            <w:tcW w:type="dxa" w:w="8179"/>
            <w:vAlign w:val="center"/>
            <w:shd w:fill="FFFFFF"/>
          </w:tcPr>
          <w:p>
            <w:pPr>
              <w:spacing w:line="290" w:lineRule="exact" w:after="20" w:before="20"/>
            </w:pPr>
            <w:r>
              <w:rPr>
                <w:rFonts w:ascii="Microsoft YaHei" w:hAnsi="Microsoft YaHei" w:eastAsia="Microsoft YaHei"/>
                <w:b w:val="0"/>
                <w:color w:val="000000"/>
                <w:sz w:val="21"/>
              </w:rPr>
              <w:t>提示词和规则版本、30 条起步用例、一次实际版本改进</w:t>
            </w:r>
          </w:p>
        </w:tc>
      </w:tr>
    </w:tbl>
    <w:p>
      <w:pPr>
        <w:spacing w:after="0" w:before="0" w:line="80" w:lineRule="exact"/>
      </w:pPr>
      <w:r>
        <w:rPr>
          <w:sz w:val="6"/>
        </w:rPr>
      </w:r>
    </w:p>
    <w:p>
      <w:pPr>
        <w:pStyle w:val="Heading2"/>
      </w:pPr>
      <w:r>
        <w:t>3 2 第一阶段验收</w:t>
      </w:r>
    </w:p>
    <w:p>
      <w:r>
        <w:rPr>
          <w:b w:val="0"/>
        </w:rPr>
        <w:t>号码查询与样本一致；AI 不编造未知资料；硬性条件不符不能提交；受理可防重复并查询超时状态；评价与服务关联；公共屏不泄露完整号码和套餐。</w:t>
      </w:r>
    </w:p>
    <w:p>
      <w:r>
        <w:rPr>
          <w:b w:val="0"/>
        </w:rPr>
        <w:t>质检结果可回到原文和资料版本，人工能确认或修改。测试用例按 20 条调试与 10 条最终验证起步，记录误报、漏报、人工修订和耗时，保留原始计数及失败案例。</w:t>
      </w:r>
    </w:p>
    <w:p>
      <w:pPr>
        <w:pStyle w:val="Heading2"/>
      </w:pPr>
      <w:r>
        <w:t>3 3 第一阶段的独立性</w:t>
      </w:r>
    </w:p>
    <w:p>
      <w:r>
        <w:rPr>
          <w:b w:val="0"/>
        </w:rPr>
        <w:t>本期不依赖完整采购、库存、收银和结算模块。最小受理单与服务任务足以支撑演示；客户、账号、政策、权限与服务标识则按后续可沿用的方式保存。</w:t>
      </w:r>
    </w:p>
    <w:p>
      <w:r>
        <w:rPr>
          <w:b w:val="0"/>
        </w:rPr>
        <w:t>独立交付可运行版本、模拟数据、操作说明、演示脚本、测试记录和改进说明。具体实施顺序与逐项验收使用《营业厅 AI 服务与质检工作台 第一阶段独立项目规划书》。</w:t>
      </w:r>
    </w:p>
    <w:p>
      <w:pPr>
        <w:pStyle w:val="Heading1"/>
        <w:pageBreakBefore/>
      </w:pPr>
      <w:r>
        <w:t>4 第二阶段客户采购与销售</w:t>
      </w:r>
    </w:p>
    <w:p>
      <w:pPr>
        <w:pStyle w:val="Heading2"/>
      </w:pPr>
      <w:r>
        <w:t>4 1 客户与产品政策扩展</w:t>
      </w:r>
    </w:p>
    <w:p>
      <w:r>
        <w:rPr>
          <w:b w:val="0"/>
        </w:rPr>
        <w:t>扩展客户全景页，关联通信账号、订购业务、合约、已购设备、订单、工单和售后。增加到期跟进任务；客户与手机号、宽带账号分开管理，保留账号更换和关联记录。</w:t>
      </w:r>
    </w:p>
    <w:p>
      <w:r>
        <w:rPr>
          <w:b w:val="0"/>
        </w:rPr>
        <w:t>产品目录区分实物商品、通信套餐和安装服务。维护价格、一次性费用、优惠、合约期限、适用区域和互斥条件。采用少量明确规则，不建设通用规则编排平台。</w:t>
      </w:r>
    </w:p>
    <w:p>
      <w:pPr>
        <w:pStyle w:val="Heading2"/>
      </w:pPr>
      <w:r>
        <w:t>4 2 采购与库存正常流程</w:t>
      </w:r>
    </w:p>
    <w:p>
      <w:r>
        <w:rPr>
          <w:b w:val="0"/>
        </w:rPr>
        <w:t>供应商建档，采购单审核后记录到货；验收实收数量并入库，形成库存流水。普通商品按数量管理，需要逐台追踪的路由器、手机或家电按序列号管理，支持按单据查询去向。</w:t>
      </w:r>
    </w:p>
    <w:p>
      <w:r>
        <w:rPr>
          <w:b w:val="0"/>
        </w:rPr>
        <w:t>销售出库前校验可用库存和序列号状态，同一设备不能重复出库。库存增加或减少必须关联来源单据、操作人和时间；不允许直接修改汇总数而不留记录。</w:t>
      </w:r>
    </w:p>
    <w:p>
      <w:pPr>
        <w:pStyle w:val="Heading2"/>
      </w:pPr>
      <w:r>
        <w:t>4 3 销售收银与日结</w:t>
      </w:r>
    </w:p>
    <w:p>
      <w:r>
        <w:rPr>
          <w:b w:val="0"/>
        </w:rPr>
        <w:t>销售订单选择客户、商品和活动，程序计算优惠及应收，店员确认后模拟支付并记录收款方式。支付成功后按商品生成出库记录；同一业务请求只执行一次收款或出库。</w:t>
      </w:r>
    </w:p>
    <w:p>
      <w:r>
        <w:rPr>
          <w:b w:val="0"/>
        </w:rPr>
        <w:t>日结汇总当班实收、退款、支付方式和交接金额，显示差异及确认人。营业款、代收款和押金分开统计，店员能从汇总进入原始单据。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685"/>
        <w:gridCol w:w="4118"/>
        <w:gridCol w:w="4190"/>
      </w:tblGrid>
      <w:tr>
        <w:trPr>
          <w:cantSplit/>
          <w:tblHeader/>
        </w:trPr>
        <w:tc>
          <w:tcPr>
            <w:tcW w:type="dxa" w:w="1685"/>
            <w:vAlign w:val="center"/>
            <w:shd w:fill="17365D"/>
          </w:tcPr>
          <w:p>
            <w:pPr>
              <w:spacing w:line="290" w:lineRule="exact" w:after="20" w:before="20"/>
              <w:jc w:val="center"/>
            </w:pPr>
            <w:r>
              <w:rPr>
                <w:rFonts w:ascii="Microsoft YaHei" w:hAnsi="Microsoft YaHei" w:eastAsia="Microsoft YaHei"/>
                <w:b/>
                <w:color w:val="FFFFFF"/>
                <w:sz w:val="21"/>
              </w:rPr>
              <w:t>业务对象</w:t>
            </w:r>
          </w:p>
        </w:tc>
        <w:tc>
          <w:tcPr>
            <w:tcW w:type="dxa" w:w="4118"/>
            <w:vAlign w:val="center"/>
            <w:shd w:fill="17365D"/>
          </w:tcPr>
          <w:p>
            <w:pPr>
              <w:spacing w:line="290" w:lineRule="exact" w:after="20" w:before="20"/>
            </w:pPr>
            <w:r>
              <w:rPr>
                <w:rFonts w:ascii="Microsoft YaHei" w:hAnsi="Microsoft YaHei" w:eastAsia="Microsoft YaHei"/>
                <w:b/>
                <w:color w:val="FFFFFF"/>
                <w:sz w:val="21"/>
              </w:rPr>
              <w:t>必须关联</w:t>
            </w:r>
          </w:p>
        </w:tc>
        <w:tc>
          <w:tcPr>
            <w:tcW w:type="dxa" w:w="4190"/>
            <w:vAlign w:val="center"/>
            <w:shd w:fill="17365D"/>
          </w:tcPr>
          <w:p>
            <w:pPr>
              <w:spacing w:line="290" w:lineRule="exact" w:after="20" w:before="20"/>
            </w:pPr>
            <w:r>
              <w:rPr>
                <w:rFonts w:ascii="Microsoft YaHei" w:hAnsi="Microsoft YaHei" w:eastAsia="Microsoft YaHei"/>
                <w:b/>
                <w:color w:val="FFFFFF"/>
                <w:sz w:val="21"/>
              </w:rPr>
              <w:t>正常流程的完成证据</w:t>
            </w:r>
          </w:p>
        </w:tc>
      </w:tr>
      <w:tr>
        <w:trPr>
          <w:cantSplit/>
        </w:trPr>
        <w:tc>
          <w:tcPr>
            <w:tcW w:type="dxa" w:w="1685"/>
            <w:vAlign w:val="center"/>
            <w:shd w:fill="FFFFFF"/>
          </w:tcPr>
          <w:p>
            <w:pPr>
              <w:spacing w:line="290" w:lineRule="exact" w:after="20" w:before="20"/>
              <w:jc w:val="center"/>
            </w:pPr>
            <w:r>
              <w:rPr>
                <w:rFonts w:ascii="Microsoft YaHei" w:hAnsi="Microsoft YaHei" w:eastAsia="Microsoft YaHei"/>
                <w:b w:val="0"/>
                <w:color w:val="000000"/>
                <w:sz w:val="21"/>
              </w:rPr>
              <w:t>采购入库</w:t>
            </w:r>
          </w:p>
        </w:tc>
        <w:tc>
          <w:tcPr>
            <w:tcW w:type="dxa" w:w="4118"/>
            <w:vAlign w:val="center"/>
            <w:shd w:fill="FFFFFF"/>
          </w:tcPr>
          <w:p>
            <w:pPr>
              <w:spacing w:line="290" w:lineRule="exact" w:after="20" w:before="20"/>
            </w:pPr>
            <w:r>
              <w:rPr>
                <w:rFonts w:ascii="Microsoft YaHei" w:hAnsi="Microsoft YaHei" w:eastAsia="Microsoft YaHei"/>
                <w:b w:val="0"/>
                <w:color w:val="000000"/>
                <w:sz w:val="21"/>
              </w:rPr>
              <w:t>采购单、供应商、商品和批次或序列号</w:t>
            </w:r>
          </w:p>
        </w:tc>
        <w:tc>
          <w:tcPr>
            <w:tcW w:type="dxa" w:w="4190"/>
            <w:vAlign w:val="center"/>
            <w:shd w:fill="FFFFFF"/>
          </w:tcPr>
          <w:p>
            <w:pPr>
              <w:spacing w:line="290" w:lineRule="exact" w:after="20" w:before="20"/>
            </w:pPr>
            <w:r>
              <w:rPr>
                <w:rFonts w:ascii="Microsoft YaHei" w:hAnsi="Microsoft YaHei" w:eastAsia="Microsoft YaHei"/>
                <w:b w:val="0"/>
                <w:color w:val="000000"/>
                <w:sz w:val="21"/>
              </w:rPr>
              <w:t>实收数量、入库流水和操作记录一致</w:t>
            </w:r>
          </w:p>
        </w:tc>
      </w:tr>
      <w:tr>
        <w:trPr>
          <w:cantSplit/>
        </w:trPr>
        <w:tc>
          <w:tcPr>
            <w:tcW w:type="dxa" w:w="1685"/>
            <w:vAlign w:val="center"/>
            <w:shd w:fill="F3F6F9"/>
          </w:tcPr>
          <w:p>
            <w:pPr>
              <w:spacing w:line="290" w:lineRule="exact" w:after="20" w:before="20"/>
              <w:jc w:val="center"/>
            </w:pPr>
            <w:r>
              <w:rPr>
                <w:rFonts w:ascii="Microsoft YaHei" w:hAnsi="Microsoft YaHei" w:eastAsia="Microsoft YaHei"/>
                <w:b w:val="0"/>
                <w:color w:val="000000"/>
                <w:sz w:val="21"/>
              </w:rPr>
              <w:t>销售订单</w:t>
            </w:r>
          </w:p>
        </w:tc>
        <w:tc>
          <w:tcPr>
            <w:tcW w:type="dxa" w:w="4118"/>
            <w:vAlign w:val="center"/>
            <w:shd w:fill="F3F6F9"/>
          </w:tcPr>
          <w:p>
            <w:pPr>
              <w:spacing w:line="290" w:lineRule="exact" w:after="20" w:before="20"/>
            </w:pPr>
            <w:r>
              <w:rPr>
                <w:rFonts w:ascii="Microsoft YaHei" w:hAnsi="Microsoft YaHei" w:eastAsia="Microsoft YaHei"/>
                <w:b w:val="0"/>
                <w:color w:val="000000"/>
                <w:sz w:val="21"/>
              </w:rPr>
              <w:t>客户、产品政策快照、收款与出库</w:t>
            </w:r>
          </w:p>
        </w:tc>
        <w:tc>
          <w:tcPr>
            <w:tcW w:type="dxa" w:w="4190"/>
            <w:vAlign w:val="center"/>
            <w:shd w:fill="F3F6F9"/>
          </w:tcPr>
          <w:p>
            <w:pPr>
              <w:spacing w:line="290" w:lineRule="exact" w:after="20" w:before="20"/>
            </w:pPr>
            <w:r>
              <w:rPr>
                <w:rFonts w:ascii="Microsoft YaHei" w:hAnsi="Microsoft YaHei" w:eastAsia="Microsoft YaHei"/>
                <w:b w:val="0"/>
                <w:color w:val="000000"/>
                <w:sz w:val="21"/>
              </w:rPr>
              <w:t>金额可复算，款项与库存变更可回查</w:t>
            </w:r>
          </w:p>
        </w:tc>
      </w:tr>
      <w:tr>
        <w:trPr>
          <w:cantSplit/>
        </w:trPr>
        <w:tc>
          <w:tcPr>
            <w:tcW w:type="dxa" w:w="1685"/>
            <w:vAlign w:val="center"/>
            <w:shd w:fill="FFFFFF"/>
          </w:tcPr>
          <w:p>
            <w:pPr>
              <w:spacing w:line="290" w:lineRule="exact" w:after="20" w:before="20"/>
              <w:jc w:val="center"/>
            </w:pPr>
            <w:r>
              <w:rPr>
                <w:rFonts w:ascii="Microsoft YaHei" w:hAnsi="Microsoft YaHei" w:eastAsia="Microsoft YaHei"/>
                <w:b w:val="0"/>
                <w:color w:val="000000"/>
                <w:sz w:val="21"/>
              </w:rPr>
              <w:t>通信受理</w:t>
            </w:r>
          </w:p>
        </w:tc>
        <w:tc>
          <w:tcPr>
            <w:tcW w:type="dxa" w:w="4118"/>
            <w:vAlign w:val="center"/>
            <w:shd w:fill="FFFFFF"/>
          </w:tcPr>
          <w:p>
            <w:pPr>
              <w:spacing w:line="290" w:lineRule="exact" w:after="20" w:before="20"/>
            </w:pPr>
            <w:r>
              <w:rPr>
                <w:rFonts w:ascii="Microsoft YaHei" w:hAnsi="Microsoft YaHei" w:eastAsia="Microsoft YaHei"/>
                <w:b w:val="0"/>
                <w:color w:val="000000"/>
                <w:sz w:val="21"/>
              </w:rPr>
              <w:t>客户账号、来源服务或订单、Mock 外部号</w:t>
            </w:r>
          </w:p>
        </w:tc>
        <w:tc>
          <w:tcPr>
            <w:tcW w:type="dxa" w:w="4190"/>
            <w:vAlign w:val="center"/>
            <w:shd w:fill="FFFFFF"/>
          </w:tcPr>
          <w:p>
            <w:pPr>
              <w:spacing w:line="290" w:lineRule="exact" w:after="20" w:before="20"/>
            </w:pPr>
            <w:r>
              <w:rPr>
                <w:rFonts w:ascii="Microsoft YaHei" w:hAnsi="Microsoft YaHei" w:eastAsia="Microsoft YaHei"/>
                <w:b w:val="0"/>
                <w:color w:val="000000"/>
                <w:sz w:val="21"/>
              </w:rPr>
              <w:t>成功状态更新客户业务台账</w:t>
            </w:r>
          </w:p>
        </w:tc>
      </w:tr>
      <w:tr>
        <w:trPr>
          <w:cantSplit/>
        </w:trPr>
        <w:tc>
          <w:tcPr>
            <w:tcW w:type="dxa" w:w="1685"/>
            <w:vAlign w:val="center"/>
            <w:shd w:fill="F3F6F9"/>
          </w:tcPr>
          <w:p>
            <w:pPr>
              <w:spacing w:line="290" w:lineRule="exact" w:after="20" w:before="20"/>
              <w:jc w:val="center"/>
            </w:pPr>
            <w:r>
              <w:rPr>
                <w:rFonts w:ascii="Microsoft YaHei" w:hAnsi="Microsoft YaHei" w:eastAsia="Microsoft YaHei"/>
                <w:b w:val="0"/>
                <w:color w:val="000000"/>
                <w:sz w:val="21"/>
              </w:rPr>
              <w:t>收银日结</w:t>
            </w:r>
          </w:p>
        </w:tc>
        <w:tc>
          <w:tcPr>
            <w:tcW w:type="dxa" w:w="4118"/>
            <w:vAlign w:val="center"/>
            <w:shd w:fill="F3F6F9"/>
          </w:tcPr>
          <w:p>
            <w:pPr>
              <w:spacing w:line="290" w:lineRule="exact" w:after="20" w:before="20"/>
            </w:pPr>
            <w:r>
              <w:rPr>
                <w:rFonts w:ascii="Microsoft YaHei" w:hAnsi="Microsoft YaHei" w:eastAsia="Microsoft YaHei"/>
                <w:b w:val="0"/>
                <w:color w:val="000000"/>
                <w:sz w:val="21"/>
              </w:rPr>
              <w:t>当班收付款明细、支付方式和交接记录</w:t>
            </w:r>
          </w:p>
        </w:tc>
        <w:tc>
          <w:tcPr>
            <w:tcW w:type="dxa" w:w="4190"/>
            <w:vAlign w:val="center"/>
            <w:shd w:fill="F3F6F9"/>
          </w:tcPr>
          <w:p>
            <w:pPr>
              <w:spacing w:line="290" w:lineRule="exact" w:after="20" w:before="20"/>
            </w:pPr>
            <w:r>
              <w:rPr>
                <w:rFonts w:ascii="Microsoft YaHei" w:hAnsi="Microsoft YaHei" w:eastAsia="Microsoft YaHei"/>
                <w:b w:val="0"/>
                <w:color w:val="000000"/>
                <w:sz w:val="21"/>
              </w:rPr>
              <w:t>汇总与明细一致，差异有明确状态</w:t>
            </w:r>
          </w:p>
        </w:tc>
      </w:tr>
    </w:tbl>
    <w:p>
      <w:pPr>
        <w:spacing w:after="0" w:before="0" w:line="80" w:lineRule="exact"/>
      </w:pPr>
      <w:r>
        <w:rPr>
          <w:sz w:val="6"/>
        </w:rPr>
      </w:r>
    </w:p>
    <w:p>
      <w:pPr>
        <w:pStyle w:val="Heading2"/>
      </w:pPr>
      <w:r>
        <w:t>4 4 本期完成边界</w:t>
      </w:r>
    </w:p>
    <w:p>
      <w:r>
        <w:rPr>
          <w:b w:val="0"/>
        </w:rPr>
        <w:t>第二阶段必须具备重复提交、库存不足、无权限和基本失败提示等必要保护。组合交易的部分失败、复杂退款与跨店业务在第三阶段加深，正常流程的数据关联不能后移。</w:t>
      </w:r>
    </w:p>
    <w:p>
      <w:pPr>
        <w:pStyle w:val="Heading1"/>
        <w:pageBreakBefore/>
      </w:pPr>
      <w:r>
        <w:t>5 第二阶段履约收益与 AI 扩展</w:t>
      </w:r>
    </w:p>
    <w:p>
      <w:pPr>
        <w:pStyle w:val="Heading2"/>
      </w:pPr>
      <w:r>
        <w:t>5 1 安装与服务工单</w:t>
      </w:r>
    </w:p>
    <w:p>
      <w:r>
        <w:rPr>
          <w:b w:val="0"/>
        </w:rPr>
        <w:t>从销售或通信受理记录创建安装工单，保存来源订单、地址、预约时间、安装人员和设备标识。正常流程为预约、派单、接单、领料、上门、安装记录、客户验收和完工。</w:t>
      </w:r>
    </w:p>
    <w:p>
      <w:r>
        <w:rPr>
          <w:b w:val="0"/>
        </w:rPr>
        <w:t>售出、出库与完成安装分别记录。第二阶段支持改约和退回待派单的基本操作；第三阶段补材料不足、条件不满足和二次上门等组合异常。</w:t>
      </w:r>
    </w:p>
    <w:p>
      <w:pPr>
        <w:pStyle w:val="Heading2"/>
      </w:pPr>
      <w:r>
        <w:t>5 2 酬金提成与基本对账</w:t>
      </w:r>
    </w:p>
    <w:p>
      <w:r>
        <w:rPr>
          <w:b w:val="0"/>
        </w:rPr>
        <w:t>按业务类型、成功状态、规则版本和归属人员生成预估酬金及待结算提成。导入模拟账单，按外部业务号、期间和金额等字段匹配；显示匹配、缺失、金额不同等结果并关联原始账单行。</w:t>
      </w:r>
    </w:p>
    <w:p>
      <w:r>
        <w:rPr>
          <w:b w:val="0"/>
        </w:rPr>
        <w:t>预估、当期应结和实际到账分别保存。店员提成只有达到配置的确认条件才进入可结算状态；本期完成简单单期场景，复杂跨期与冲回进入第三阶段。</w:t>
      </w:r>
    </w:p>
    <w:p>
      <w:pPr>
        <w:pStyle w:val="Heading2"/>
      </w:pPr>
      <w:r>
        <w:t>5 3 经营看板</w:t>
      </w:r>
    </w:p>
    <w:p>
      <w:r>
        <w:rPr>
          <w:b w:val="0"/>
        </w:rPr>
        <w:t>展示销售、库存、收款、受理、工单、预估与到账酬金、待结算提成和服务质量。每个指标标明时间范围、门店、口径和数据更新时间，支持进入明细；不把所有资金流入合并为营业收入。</w:t>
      </w:r>
    </w:p>
    <w:p>
      <w:pPr>
        <w:pStyle w:val="Heading2"/>
      </w:pPr>
      <w:r>
        <w:t>5 4 剩余 AI 场景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757"/>
        <w:gridCol w:w="4334"/>
        <w:gridCol w:w="3902"/>
      </w:tblGrid>
      <w:tr>
        <w:trPr>
          <w:cantSplit/>
          <w:tblHeader/>
        </w:trPr>
        <w:tc>
          <w:tcPr>
            <w:tcW w:type="dxa" w:w="1757"/>
            <w:vAlign w:val="center"/>
            <w:shd w:fill="17365D"/>
          </w:tcPr>
          <w:p>
            <w:pPr>
              <w:spacing w:line="290" w:lineRule="exact" w:after="20" w:before="20"/>
              <w:jc w:val="center"/>
            </w:pPr>
            <w:r>
              <w:rPr>
                <w:rFonts w:ascii="Microsoft YaHei" w:hAnsi="Microsoft YaHei" w:eastAsia="Microsoft YaHei"/>
                <w:b/>
                <w:color w:val="FFFFFF"/>
                <w:sz w:val="21"/>
              </w:rPr>
              <w:t>场景</w:t>
            </w:r>
          </w:p>
        </w:tc>
        <w:tc>
          <w:tcPr>
            <w:tcW w:type="dxa" w:w="4334"/>
            <w:vAlign w:val="center"/>
            <w:shd w:fill="17365D"/>
          </w:tcPr>
          <w:p>
            <w:pPr>
              <w:spacing w:line="290" w:lineRule="exact" w:after="20" w:before="20"/>
            </w:pPr>
            <w:r>
              <w:rPr>
                <w:rFonts w:ascii="Microsoft YaHei" w:hAnsi="Microsoft YaHei" w:eastAsia="Microsoft YaHei"/>
                <w:b/>
                <w:color w:val="FFFFFF"/>
                <w:sz w:val="21"/>
              </w:rPr>
              <w:t>输入与输出</w:t>
            </w:r>
          </w:p>
        </w:tc>
        <w:tc>
          <w:tcPr>
            <w:tcW w:type="dxa" w:w="3902"/>
            <w:vAlign w:val="center"/>
            <w:shd w:fill="17365D"/>
          </w:tcPr>
          <w:p>
            <w:pPr>
              <w:spacing w:line="290" w:lineRule="exact" w:after="20" w:before="20"/>
            </w:pPr>
            <w:r>
              <w:rPr>
                <w:rFonts w:ascii="Microsoft YaHei" w:hAnsi="Microsoft YaHei" w:eastAsia="Microsoft YaHei"/>
                <w:b/>
                <w:color w:val="FFFFFF"/>
                <w:sz w:val="21"/>
              </w:rPr>
              <w:t>业务约束</w:t>
            </w:r>
          </w:p>
        </w:tc>
      </w:tr>
      <w:tr>
        <w:trPr>
          <w:cantSplit/>
        </w:trPr>
        <w:tc>
          <w:tcPr>
            <w:tcW w:type="dxa" w:w="1757"/>
            <w:vAlign w:val="center"/>
            <w:shd w:fill="FFFFFF"/>
          </w:tcPr>
          <w:p>
            <w:pPr>
              <w:spacing w:line="290" w:lineRule="exact" w:after="20" w:before="20"/>
              <w:jc w:val="center"/>
            </w:pPr>
            <w:r>
              <w:rPr>
                <w:rFonts w:ascii="Microsoft YaHei" w:hAnsi="Microsoft YaHei" w:eastAsia="Microsoft YaHei"/>
                <w:b w:val="0"/>
                <w:color w:val="000000"/>
                <w:sz w:val="21"/>
              </w:rPr>
              <w:t>销售业务辅助</w:t>
            </w:r>
          </w:p>
        </w:tc>
        <w:tc>
          <w:tcPr>
            <w:tcW w:type="dxa" w:w="4334"/>
            <w:vAlign w:val="center"/>
            <w:shd w:fill="FFFFFF"/>
          </w:tcPr>
          <w:p>
            <w:pPr>
              <w:spacing w:line="290" w:lineRule="exact" w:after="20" w:before="20"/>
            </w:pPr>
            <w:r>
              <w:rPr>
                <w:rFonts w:ascii="Microsoft YaHei" w:hAnsi="Microsoft YaHei" w:eastAsia="Microsoft YaHei"/>
                <w:b w:val="0"/>
                <w:color w:val="000000"/>
                <w:sz w:val="21"/>
              </w:rPr>
              <w:t>复用一期资料与需求，补商品服务比较和订单草稿</w:t>
            </w:r>
          </w:p>
        </w:tc>
        <w:tc>
          <w:tcPr>
            <w:tcW w:type="dxa" w:w="3902"/>
            <w:vAlign w:val="center"/>
            <w:shd w:fill="FFFFFF"/>
          </w:tcPr>
          <w:p>
            <w:pPr>
              <w:spacing w:line="290" w:lineRule="exact" w:after="20" w:before="20"/>
            </w:pPr>
            <w:r>
              <w:rPr>
                <w:rFonts w:ascii="Microsoft YaHei" w:hAnsi="Microsoft YaHei" w:eastAsia="Microsoft YaHei"/>
                <w:b w:val="0"/>
                <w:color w:val="000000"/>
                <w:sz w:val="21"/>
              </w:rPr>
              <w:t>创建前人工确认；金额和资格重新校验</w:t>
            </w:r>
          </w:p>
        </w:tc>
      </w:tr>
      <w:tr>
        <w:trPr>
          <w:cantSplit/>
        </w:trPr>
        <w:tc>
          <w:tcPr>
            <w:tcW w:type="dxa" w:w="1757"/>
            <w:vAlign w:val="center"/>
            <w:shd w:fill="F3F6F9"/>
          </w:tcPr>
          <w:p>
            <w:pPr>
              <w:spacing w:line="290" w:lineRule="exact" w:after="20" w:before="20"/>
              <w:jc w:val="center"/>
            </w:pPr>
            <w:r>
              <w:rPr>
                <w:rFonts w:ascii="Microsoft YaHei" w:hAnsi="Microsoft YaHei" w:eastAsia="Microsoft YaHei"/>
                <w:b w:val="0"/>
                <w:color w:val="000000"/>
                <w:sz w:val="21"/>
              </w:rPr>
              <w:t>GEO 抽样复核</w:t>
            </w:r>
          </w:p>
        </w:tc>
        <w:tc>
          <w:tcPr>
            <w:tcW w:type="dxa" w:w="4334"/>
            <w:vAlign w:val="center"/>
            <w:shd w:fill="F3F6F9"/>
          </w:tcPr>
          <w:p>
            <w:pPr>
              <w:spacing w:line="290" w:lineRule="exact" w:after="20" w:before="20"/>
            </w:pPr>
            <w:r>
              <w:rPr>
                <w:rFonts w:ascii="Microsoft YaHei" w:hAnsi="Microsoft YaHei" w:eastAsia="Microsoft YaHei"/>
                <w:b w:val="0"/>
                <w:color w:val="000000"/>
                <w:sz w:val="21"/>
              </w:rPr>
              <w:t>人工录入或导入外部 AI 回答，记录平台、问题、时间、引用及事实错误</w:t>
            </w:r>
          </w:p>
        </w:tc>
        <w:tc>
          <w:tcPr>
            <w:tcW w:type="dxa" w:w="3902"/>
            <w:vAlign w:val="center"/>
            <w:shd w:fill="F3F6F9"/>
          </w:tcPr>
          <w:p>
            <w:pPr>
              <w:spacing w:line="290" w:lineRule="exact" w:after="20" w:before="20"/>
            </w:pPr>
            <w:r>
              <w:rPr>
                <w:rFonts w:ascii="Microsoft YaHei" w:hAnsi="Microsoft YaHei" w:eastAsia="Microsoft YaHei"/>
                <w:b w:val="0"/>
                <w:color w:val="000000"/>
                <w:sz w:val="21"/>
              </w:rPr>
              <w:t>真实采集与模拟样本分开；抽样提及情况不写成整体曝光效果</w:t>
            </w:r>
          </w:p>
        </w:tc>
      </w:tr>
      <w:tr>
        <w:trPr>
          <w:cantSplit/>
        </w:trPr>
        <w:tc>
          <w:tcPr>
            <w:tcW w:type="dxa" w:w="1757"/>
            <w:vAlign w:val="center"/>
            <w:shd w:fill="FFFFFF"/>
          </w:tcPr>
          <w:p>
            <w:pPr>
              <w:spacing w:line="290" w:lineRule="exact" w:after="20" w:before="20"/>
              <w:jc w:val="center"/>
            </w:pPr>
            <w:r>
              <w:rPr>
                <w:rFonts w:ascii="Microsoft YaHei" w:hAnsi="Microsoft YaHei" w:eastAsia="Microsoft YaHei"/>
                <w:b w:val="0"/>
                <w:color w:val="000000"/>
                <w:sz w:val="21"/>
              </w:rPr>
              <w:t>经营问答与摘要</w:t>
            </w:r>
          </w:p>
        </w:tc>
        <w:tc>
          <w:tcPr>
            <w:tcW w:type="dxa" w:w="4334"/>
            <w:vAlign w:val="center"/>
            <w:shd w:fill="FFFFFF"/>
          </w:tcPr>
          <w:p>
            <w:pPr>
              <w:spacing w:line="290" w:lineRule="exact" w:after="20" w:before="20"/>
            </w:pPr>
            <w:r>
              <w:rPr>
                <w:rFonts w:ascii="Microsoft YaHei" w:hAnsi="Microsoft YaHei" w:eastAsia="Microsoft YaHei"/>
                <w:b w:val="0"/>
                <w:color w:val="000000"/>
                <w:sz w:val="21"/>
              </w:rPr>
              <w:t>查询授权订单、库存与工单统计，生成带依据的说明</w:t>
            </w:r>
          </w:p>
        </w:tc>
        <w:tc>
          <w:tcPr>
            <w:tcW w:type="dxa" w:w="3902"/>
            <w:vAlign w:val="center"/>
            <w:shd w:fill="FFFFFF"/>
          </w:tcPr>
          <w:p>
            <w:pPr>
              <w:spacing w:line="290" w:lineRule="exact" w:after="20" w:before="20"/>
            </w:pPr>
            <w:r>
              <w:rPr>
                <w:rFonts w:ascii="Microsoft YaHei" w:hAnsi="Microsoft YaHei" w:eastAsia="Microsoft YaHei"/>
                <w:b w:val="0"/>
                <w:color w:val="000000"/>
                <w:sz w:val="21"/>
              </w:rPr>
              <w:t>统计由程序计算；只读，不能改账或代做业务操作</w:t>
            </w:r>
          </w:p>
        </w:tc>
      </w:tr>
      <w:tr>
        <w:trPr>
          <w:cantSplit/>
        </w:trPr>
        <w:tc>
          <w:tcPr>
            <w:tcW w:type="dxa" w:w="1757"/>
            <w:vAlign w:val="center"/>
            <w:shd w:fill="F3F6F9"/>
          </w:tcPr>
          <w:p>
            <w:pPr>
              <w:spacing w:line="290" w:lineRule="exact" w:after="20" w:before="20"/>
              <w:jc w:val="center"/>
            </w:pPr>
            <w:r>
              <w:rPr>
                <w:rFonts w:ascii="Microsoft YaHei" w:hAnsi="Microsoft YaHei" w:eastAsia="Microsoft YaHei"/>
                <w:b w:val="0"/>
                <w:color w:val="000000"/>
                <w:sz w:val="21"/>
              </w:rPr>
              <w:t>服务改进扩展</w:t>
            </w:r>
          </w:p>
        </w:tc>
        <w:tc>
          <w:tcPr>
            <w:tcW w:type="dxa" w:w="4334"/>
            <w:vAlign w:val="center"/>
            <w:shd w:fill="F3F6F9"/>
          </w:tcPr>
          <w:p>
            <w:pPr>
              <w:spacing w:line="290" w:lineRule="exact" w:after="20" w:before="20"/>
            </w:pPr>
            <w:r>
              <w:rPr>
                <w:rFonts w:ascii="Microsoft YaHei" w:hAnsi="Microsoft YaHei" w:eastAsia="Microsoft YaHei"/>
                <w:b w:val="0"/>
                <w:color w:val="000000"/>
                <w:sz w:val="21"/>
              </w:rPr>
              <w:t>联合等待、评价、质检和履约记录提出改进任务</w:t>
            </w:r>
          </w:p>
        </w:tc>
        <w:tc>
          <w:tcPr>
            <w:tcW w:type="dxa" w:w="3902"/>
            <w:vAlign w:val="center"/>
            <w:shd w:fill="F3F6F9"/>
          </w:tcPr>
          <w:p>
            <w:pPr>
              <w:spacing w:line="290" w:lineRule="exact" w:after="20" w:before="20"/>
            </w:pPr>
            <w:r>
              <w:rPr>
                <w:rFonts w:ascii="Microsoft YaHei" w:hAnsi="Microsoft YaHei" w:eastAsia="Microsoft YaHei"/>
                <w:b w:val="0"/>
                <w:color w:val="000000"/>
                <w:sz w:val="21"/>
              </w:rPr>
              <w:t>有样本数、来源与验证方式；人工审核原因假设</w:t>
            </w:r>
          </w:p>
        </w:tc>
      </w:tr>
    </w:tbl>
    <w:p>
      <w:pPr>
        <w:spacing w:after="0" w:before="0" w:line="80" w:lineRule="exact"/>
      </w:pPr>
      <w:r>
        <w:rPr>
          <w:sz w:val="6"/>
        </w:rPr>
      </w:r>
    </w:p>
    <w:p>
      <w:r>
        <w:rPr>
          <w:b w:val="0"/>
        </w:rPr>
        <w:t>第二阶段出口为主要模块均有可运行正常流程，至少演示一次从服务推荐到交易、出库或受理、安装交付及收益台账的关联过程。</w:t>
      </w:r>
    </w:p>
    <w:p>
      <w:pPr>
        <w:pStyle w:val="Heading1"/>
        <w:pageBreakBefore/>
      </w:pPr>
      <w:r>
        <w:t>6 第三阶段组合交易与售后</w:t>
      </w:r>
    </w:p>
    <w:p>
      <w:pPr>
        <w:pStyle w:val="Heading2"/>
      </w:pPr>
      <w:r>
        <w:t>6 1 一笔交易关联多个业务</w:t>
      </w:r>
    </w:p>
    <w:p>
      <w:r>
        <w:rPr>
          <w:b w:val="0"/>
        </w:rPr>
        <w:t>以“宽带办理、路由器和上门安装”为代表场景，建立统一交易记录，下挂通信受理单、实物销售单、安装工单和收付款。各子单独立更新状态，父交易明确显示已完成、部分完成、处理中或需人工处理。</w:t>
      </w:r>
    </w:p>
    <w:p>
      <w:r>
        <w:rPr>
          <w:b w:val="0"/>
        </w:rPr>
        <w:t>单个子单成功不代表整单成功。对通信已办、设备未出库或安装未完等情况，展示剩余任务、已发生费用和处理责任；不能通过覆盖状态隐藏部分完成事实。</w:t>
      </w:r>
    </w:p>
    <w:p>
      <w:pPr>
        <w:pStyle w:val="Heading2"/>
      </w:pPr>
      <w:r>
        <w:t>6 2 售后与退款联动</w:t>
      </w:r>
    </w:p>
    <w:p>
      <w:r>
        <w:rPr>
          <w:b w:val="0"/>
        </w:rPr>
        <w:t>售后申请关联原交易和具体行项目，明确退商品、退服务或部分退款。审批后按可退规则处理货物检查、退库、通信退订或核查、安装取消及款项退回。不可逆的已履约服务进入人工说明与处理。</w:t>
      </w:r>
    </w:p>
    <w:p>
      <w:r>
        <w:rPr>
          <w:b w:val="0"/>
        </w:rPr>
        <w:t>退款与退库分别记录，退款成功不等于设备已回库。酬金与提成按原规则生成冲销或调整记录，保留原金额和原因，避免直接删除原单。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2088"/>
        <w:gridCol w:w="4003"/>
        <w:gridCol w:w="3902"/>
      </w:tblGrid>
      <w:tr>
        <w:trPr>
          <w:cantSplit/>
          <w:tblHeader/>
        </w:trPr>
        <w:tc>
          <w:tcPr>
            <w:tcW w:type="dxa" w:w="2088"/>
            <w:vAlign w:val="center"/>
            <w:shd w:fill="17365D"/>
          </w:tcPr>
          <w:p>
            <w:pPr>
              <w:spacing w:line="290" w:lineRule="exact" w:after="20" w:before="20"/>
            </w:pPr>
            <w:r>
              <w:rPr>
                <w:rFonts w:ascii="Microsoft YaHei" w:hAnsi="Microsoft YaHei" w:eastAsia="Microsoft YaHei"/>
                <w:b/>
                <w:color w:val="FFFFFF"/>
                <w:sz w:val="21"/>
              </w:rPr>
              <w:t>代表性异常</w:t>
            </w:r>
          </w:p>
        </w:tc>
        <w:tc>
          <w:tcPr>
            <w:tcW w:type="dxa" w:w="4003"/>
            <w:vAlign w:val="center"/>
            <w:shd w:fill="17365D"/>
          </w:tcPr>
          <w:p>
            <w:pPr>
              <w:spacing w:line="290" w:lineRule="exact" w:after="20" w:before="20"/>
            </w:pPr>
            <w:r>
              <w:rPr>
                <w:rFonts w:ascii="Microsoft YaHei" w:hAnsi="Microsoft YaHei" w:eastAsia="Microsoft YaHei"/>
                <w:b/>
                <w:color w:val="FFFFFF"/>
                <w:sz w:val="21"/>
              </w:rPr>
              <w:t>处理路径</w:t>
            </w:r>
          </w:p>
        </w:tc>
        <w:tc>
          <w:tcPr>
            <w:tcW w:type="dxa" w:w="3902"/>
            <w:vAlign w:val="center"/>
            <w:shd w:fill="17365D"/>
          </w:tcPr>
          <w:p>
            <w:pPr>
              <w:spacing w:line="290" w:lineRule="exact" w:after="20" w:before="20"/>
            </w:pPr>
            <w:r>
              <w:rPr>
                <w:rFonts w:ascii="Microsoft YaHei" w:hAnsi="Microsoft YaHei" w:eastAsia="Microsoft YaHei"/>
                <w:b/>
                <w:color w:val="FFFFFF"/>
                <w:sz w:val="21"/>
              </w:rPr>
              <w:t>关闭条件</w:t>
            </w:r>
          </w:p>
        </w:tc>
      </w:tr>
      <w:tr>
        <w:trPr>
          <w:cantSplit/>
        </w:trPr>
        <w:tc>
          <w:tcPr>
            <w:tcW w:type="dxa" w:w="2088"/>
            <w:vAlign w:val="center"/>
            <w:shd w:fill="FFFFFF"/>
          </w:tcPr>
          <w:p>
            <w:pPr>
              <w:spacing w:line="290" w:lineRule="exact" w:after="20" w:before="20"/>
            </w:pPr>
            <w:r>
              <w:rPr>
                <w:rFonts w:ascii="Microsoft YaHei" w:hAnsi="Microsoft YaHei" w:eastAsia="Microsoft YaHei"/>
                <w:b w:val="0"/>
                <w:color w:val="000000"/>
                <w:sz w:val="21"/>
              </w:rPr>
              <w:t>组合业务部分失败</w:t>
            </w:r>
          </w:p>
        </w:tc>
        <w:tc>
          <w:tcPr>
            <w:tcW w:type="dxa" w:w="4003"/>
            <w:vAlign w:val="center"/>
            <w:shd w:fill="FFFFFF"/>
          </w:tcPr>
          <w:p>
            <w:pPr>
              <w:spacing w:line="290" w:lineRule="exact" w:after="20" w:before="20"/>
            </w:pPr>
            <w:r>
              <w:rPr>
                <w:rFonts w:ascii="Microsoft YaHei" w:hAnsi="Microsoft YaHei" w:eastAsia="Microsoft YaHei"/>
                <w:b w:val="0"/>
                <w:color w:val="000000"/>
                <w:sz w:val="21"/>
              </w:rPr>
              <w:t>保留已成功子单，查询未决状态，选择补办或部分取消</w:t>
            </w:r>
          </w:p>
        </w:tc>
        <w:tc>
          <w:tcPr>
            <w:tcW w:type="dxa" w:w="3902"/>
            <w:vAlign w:val="center"/>
            <w:shd w:fill="FFFFFF"/>
          </w:tcPr>
          <w:p>
            <w:pPr>
              <w:spacing w:line="290" w:lineRule="exact" w:after="20" w:before="20"/>
            </w:pPr>
            <w:r>
              <w:rPr>
                <w:rFonts w:ascii="Microsoft YaHei" w:hAnsi="Microsoft YaHei" w:eastAsia="Microsoft YaHei"/>
                <w:b w:val="0"/>
                <w:color w:val="000000"/>
                <w:sz w:val="21"/>
              </w:rPr>
              <w:t>每个子单有终态或明确的人工处理结果</w:t>
            </w:r>
          </w:p>
        </w:tc>
      </w:tr>
      <w:tr>
        <w:trPr>
          <w:cantSplit/>
        </w:trPr>
        <w:tc>
          <w:tcPr>
            <w:tcW w:type="dxa" w:w="2088"/>
            <w:vAlign w:val="center"/>
            <w:shd w:fill="F3F6F9"/>
          </w:tcPr>
          <w:p>
            <w:pPr>
              <w:spacing w:line="290" w:lineRule="exact" w:after="20" w:before="20"/>
            </w:pPr>
            <w:r>
              <w:rPr>
                <w:rFonts w:ascii="Microsoft YaHei" w:hAnsi="Microsoft YaHei" w:eastAsia="Microsoft YaHei"/>
                <w:b w:val="0"/>
                <w:color w:val="000000"/>
                <w:sz w:val="21"/>
              </w:rPr>
              <w:t>通信成功但设备缺货</w:t>
            </w:r>
          </w:p>
        </w:tc>
        <w:tc>
          <w:tcPr>
            <w:tcW w:type="dxa" w:w="4003"/>
            <w:vAlign w:val="center"/>
            <w:shd w:fill="F3F6F9"/>
          </w:tcPr>
          <w:p>
            <w:pPr>
              <w:spacing w:line="290" w:lineRule="exact" w:after="20" w:before="20"/>
            </w:pPr>
            <w:r>
              <w:rPr>
                <w:rFonts w:ascii="Microsoft YaHei" w:hAnsi="Microsoft YaHei" w:eastAsia="Microsoft YaHei"/>
                <w:b w:val="0"/>
                <w:color w:val="000000"/>
                <w:sz w:val="21"/>
              </w:rPr>
              <w:t>提示分次交付、替代或取消选项，人工确认</w:t>
            </w:r>
          </w:p>
        </w:tc>
        <w:tc>
          <w:tcPr>
            <w:tcW w:type="dxa" w:w="3902"/>
            <w:vAlign w:val="center"/>
            <w:shd w:fill="F3F6F9"/>
          </w:tcPr>
          <w:p>
            <w:pPr>
              <w:spacing w:line="290" w:lineRule="exact" w:after="20" w:before="20"/>
            </w:pPr>
            <w:r>
              <w:rPr>
                <w:rFonts w:ascii="Microsoft YaHei" w:hAnsi="Microsoft YaHei" w:eastAsia="Microsoft YaHei"/>
                <w:b w:val="0"/>
                <w:color w:val="000000"/>
                <w:sz w:val="21"/>
              </w:rPr>
              <w:t>设备交付、取消与资金调整对应一致</w:t>
            </w:r>
          </w:p>
        </w:tc>
      </w:tr>
      <w:tr>
        <w:trPr>
          <w:cantSplit/>
        </w:trPr>
        <w:tc>
          <w:tcPr>
            <w:tcW w:type="dxa" w:w="2088"/>
            <w:vAlign w:val="center"/>
            <w:shd w:fill="FFFFFF"/>
          </w:tcPr>
          <w:p>
            <w:pPr>
              <w:spacing w:line="290" w:lineRule="exact" w:after="20" w:before="20"/>
            </w:pPr>
            <w:r>
              <w:rPr>
                <w:rFonts w:ascii="Microsoft YaHei" w:hAnsi="Microsoft YaHei" w:eastAsia="Microsoft YaHei"/>
                <w:b w:val="0"/>
                <w:color w:val="000000"/>
                <w:sz w:val="21"/>
              </w:rPr>
              <w:t>已出库但安装条件不满足</w:t>
            </w:r>
          </w:p>
        </w:tc>
        <w:tc>
          <w:tcPr>
            <w:tcW w:type="dxa" w:w="4003"/>
            <w:vAlign w:val="center"/>
            <w:shd w:fill="FFFFFF"/>
          </w:tcPr>
          <w:p>
            <w:pPr>
              <w:spacing w:line="290" w:lineRule="exact" w:after="20" w:before="20"/>
            </w:pPr>
            <w:r>
              <w:rPr>
                <w:rFonts w:ascii="Microsoft YaHei" w:hAnsi="Microsoft YaHei" w:eastAsia="Microsoft YaHei"/>
                <w:b w:val="0"/>
                <w:color w:val="000000"/>
                <w:sz w:val="21"/>
              </w:rPr>
              <w:t>记录现场原因，改约或发起相应售后</w:t>
            </w:r>
          </w:p>
        </w:tc>
        <w:tc>
          <w:tcPr>
            <w:tcW w:type="dxa" w:w="3902"/>
            <w:vAlign w:val="center"/>
            <w:shd w:fill="FFFFFF"/>
          </w:tcPr>
          <w:p>
            <w:pPr>
              <w:spacing w:line="290" w:lineRule="exact" w:after="20" w:before="20"/>
            </w:pPr>
            <w:r>
              <w:rPr>
                <w:rFonts w:ascii="Microsoft YaHei" w:hAnsi="Microsoft YaHei" w:eastAsia="Microsoft YaHei"/>
                <w:b w:val="0"/>
                <w:color w:val="000000"/>
                <w:sz w:val="21"/>
              </w:rPr>
              <w:t>工单、设备去向和费用处理均有记录</w:t>
            </w:r>
          </w:p>
        </w:tc>
      </w:tr>
      <w:tr>
        <w:trPr>
          <w:cantSplit/>
        </w:trPr>
        <w:tc>
          <w:tcPr>
            <w:tcW w:type="dxa" w:w="2088"/>
            <w:vAlign w:val="center"/>
            <w:shd w:fill="F3F6F9"/>
          </w:tcPr>
          <w:p>
            <w:pPr>
              <w:spacing w:line="290" w:lineRule="exact" w:after="20" w:before="20"/>
            </w:pPr>
            <w:r>
              <w:rPr>
                <w:rFonts w:ascii="Microsoft YaHei" w:hAnsi="Microsoft YaHei" w:eastAsia="Microsoft YaHei"/>
                <w:b w:val="0"/>
                <w:color w:val="000000"/>
                <w:sz w:val="21"/>
              </w:rPr>
              <w:t>部分退款</w:t>
            </w:r>
          </w:p>
        </w:tc>
        <w:tc>
          <w:tcPr>
            <w:tcW w:type="dxa" w:w="4003"/>
            <w:vAlign w:val="center"/>
            <w:shd w:fill="F3F6F9"/>
          </w:tcPr>
          <w:p>
            <w:pPr>
              <w:spacing w:line="290" w:lineRule="exact" w:after="20" w:before="20"/>
            </w:pPr>
            <w:r>
              <w:rPr>
                <w:rFonts w:ascii="Microsoft YaHei" w:hAnsi="Microsoft YaHei" w:eastAsia="Microsoft YaHei"/>
                <w:b w:val="0"/>
                <w:color w:val="000000"/>
                <w:sz w:val="21"/>
              </w:rPr>
              <w:t>按原订单行分摊可退金额，审批后退款并关联冲销</w:t>
            </w:r>
          </w:p>
        </w:tc>
        <w:tc>
          <w:tcPr>
            <w:tcW w:type="dxa" w:w="3902"/>
            <w:vAlign w:val="center"/>
            <w:shd w:fill="F3F6F9"/>
          </w:tcPr>
          <w:p>
            <w:pPr>
              <w:spacing w:line="290" w:lineRule="exact" w:after="20" w:before="20"/>
            </w:pPr>
            <w:r>
              <w:rPr>
                <w:rFonts w:ascii="Microsoft YaHei" w:hAnsi="Microsoft YaHei" w:eastAsia="Microsoft YaHei"/>
                <w:b w:val="0"/>
                <w:color w:val="000000"/>
                <w:sz w:val="21"/>
              </w:rPr>
              <w:t>退款合计不超过可退余额，原交易可追溯</w:t>
            </w:r>
          </w:p>
        </w:tc>
      </w:tr>
    </w:tbl>
    <w:p>
      <w:pPr>
        <w:spacing w:after="0" w:before="0" w:line="80" w:lineRule="exact"/>
      </w:pPr>
      <w:r>
        <w:rPr>
          <w:sz w:val="6"/>
        </w:rPr>
      </w:r>
    </w:p>
    <w:p>
      <w:pPr>
        <w:pStyle w:val="Heading2"/>
      </w:pPr>
      <w:r>
        <w:t>6 3 有限场景做深</w:t>
      </w:r>
    </w:p>
    <w:p>
      <w:r>
        <w:rPr>
          <w:b w:val="0"/>
        </w:rPr>
        <w:t>本期选择上述场景和下一章中的跨期、调拨异常做完整演示。对范围外的业务规则明确标为未支持，提交前阻止进入无法收尾的状态；不追求列举所有行业特殊情况。</w:t>
      </w:r>
    </w:p>
    <w:p>
      <w:r>
        <w:rPr>
          <w:b w:val="0"/>
        </w:rPr>
        <w:t>处理失败时显示当前已完成动作与未完成动作，提供查询或人工接手。只有在能证明未执行或操作可安全重复时才重试。</w:t>
      </w:r>
    </w:p>
    <w:p>
      <w:pPr>
        <w:pStyle w:val="Heading1"/>
        <w:pageBreakBefore/>
      </w:pPr>
      <w:r>
        <w:t>7 第三阶段结算调拨与权限</w:t>
      </w:r>
    </w:p>
    <w:p>
      <w:pPr>
        <w:pStyle w:val="Heading2"/>
      </w:pPr>
      <w:r>
        <w:t>7 1 跨账期结算与差异处理</w:t>
      </w:r>
    </w:p>
    <w:p>
      <w:r>
        <w:rPr>
          <w:b w:val="0"/>
        </w:rPr>
        <w:t>按结算期间分别记录总预估、当期应结、实际到账和后续调整。跨期到账与真实金额差异分类处理，不能把“本期未到账”直接认定为少结。</w:t>
      </w:r>
    </w:p>
    <w:p>
      <w:r>
        <w:rPr>
          <w:b w:val="0"/>
        </w:rPr>
        <w:t>对账差异形成处理单，关联业务、规则快照、外部账单行、差异原因、责任人和关闭依据。支持分期释放、补发和冲回等选定模拟情境；已结提成发生退款时以调整记录保留影响。</w:t>
      </w:r>
    </w:p>
    <w:p>
      <w:pPr>
        <w:pStyle w:val="Heading2"/>
      </w:pPr>
      <w:r>
        <w:t>7 2 两店调拨与库存差异</w:t>
      </w:r>
    </w:p>
    <w:p>
      <w:r>
        <w:rPr>
          <w:b w:val="0"/>
        </w:rPr>
        <w:t>调拨流程为申请、审核、调出、在途、到货验收和入库。调出后减少来源店可用库存，目的店验收后增加可用库存，在途数量单独展示，防止两店同时把同一设备当作可售库存。</w:t>
      </w:r>
    </w:p>
    <w:p>
      <w:r>
        <w:rPr>
          <w:b w:val="0"/>
        </w:rPr>
        <w:t>选择到货数量不符或序列号不符作为异常演示，差异进入核查任务。盘点可录入实盘结果，差异调整须审批并生成库存流水。</w:t>
      </w:r>
    </w:p>
    <w:p>
      <w:pPr>
        <w:pStyle w:val="Heading2"/>
      </w:pPr>
      <w:r>
        <w:t>7 3 权限审批与统一待办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2232"/>
        <w:gridCol w:w="3298"/>
        <w:gridCol w:w="4464"/>
      </w:tblGrid>
      <w:tr>
        <w:trPr>
          <w:cantSplit/>
          <w:tblHeader/>
        </w:trPr>
        <w:tc>
          <w:tcPr>
            <w:tcW w:type="dxa" w:w="2232"/>
            <w:vAlign w:val="center"/>
            <w:shd w:fill="17365D"/>
          </w:tcPr>
          <w:p>
            <w:pPr>
              <w:spacing w:line="290" w:lineRule="exact" w:after="20" w:before="20"/>
            </w:pPr>
            <w:r>
              <w:rPr>
                <w:rFonts w:ascii="Microsoft YaHei" w:hAnsi="Microsoft YaHei" w:eastAsia="Microsoft YaHei"/>
                <w:b/>
                <w:color w:val="FFFFFF"/>
                <w:sz w:val="21"/>
              </w:rPr>
              <w:t>动作</w:t>
            </w:r>
          </w:p>
        </w:tc>
        <w:tc>
          <w:tcPr>
            <w:tcW w:type="dxa" w:w="3298"/>
            <w:vAlign w:val="center"/>
            <w:shd w:fill="17365D"/>
          </w:tcPr>
          <w:p>
            <w:pPr>
              <w:spacing w:line="290" w:lineRule="exact" w:after="20" w:before="20"/>
            </w:pPr>
            <w:r>
              <w:rPr>
                <w:rFonts w:ascii="Microsoft YaHei" w:hAnsi="Microsoft YaHei" w:eastAsia="Microsoft YaHei"/>
                <w:b/>
                <w:color w:val="FFFFFF"/>
                <w:sz w:val="21"/>
              </w:rPr>
              <w:t>执行角色</w:t>
            </w:r>
          </w:p>
        </w:tc>
        <w:tc>
          <w:tcPr>
            <w:tcW w:type="dxa" w:w="4464"/>
            <w:vAlign w:val="center"/>
            <w:shd w:fill="17365D"/>
          </w:tcPr>
          <w:p>
            <w:pPr>
              <w:spacing w:line="290" w:lineRule="exact" w:after="20" w:before="20"/>
            </w:pPr>
            <w:r>
              <w:rPr>
                <w:rFonts w:ascii="Microsoft YaHei" w:hAnsi="Microsoft YaHei" w:eastAsia="Microsoft YaHei"/>
                <w:b/>
                <w:color w:val="FFFFFF"/>
                <w:sz w:val="21"/>
              </w:rPr>
              <w:t>额外控制</w:t>
            </w:r>
          </w:p>
        </w:tc>
      </w:tr>
      <w:tr>
        <w:trPr>
          <w:cantSplit/>
        </w:trPr>
        <w:tc>
          <w:tcPr>
            <w:tcW w:type="dxa" w:w="2232"/>
            <w:vAlign w:val="center"/>
            <w:shd w:fill="FFFFFF"/>
          </w:tcPr>
          <w:p>
            <w:pPr>
              <w:spacing w:line="290" w:lineRule="exact" w:after="20" w:before="20"/>
            </w:pPr>
            <w:r>
              <w:rPr>
                <w:rFonts w:ascii="Microsoft YaHei" w:hAnsi="Microsoft YaHei" w:eastAsia="Microsoft YaHei"/>
                <w:b w:val="0"/>
                <w:color w:val="000000"/>
                <w:sz w:val="21"/>
              </w:rPr>
              <w:t>查客户与建订单</w:t>
            </w:r>
          </w:p>
        </w:tc>
        <w:tc>
          <w:tcPr>
            <w:tcW w:type="dxa" w:w="3298"/>
            <w:vAlign w:val="center"/>
            <w:shd w:fill="FFFFFF"/>
          </w:tcPr>
          <w:p>
            <w:pPr>
              <w:spacing w:line="290" w:lineRule="exact" w:after="20" w:before="20"/>
            </w:pPr>
            <w:r>
              <w:rPr>
                <w:rFonts w:ascii="Microsoft YaHei" w:hAnsi="Microsoft YaHei" w:eastAsia="Microsoft YaHei"/>
                <w:b w:val="0"/>
                <w:color w:val="000000"/>
                <w:sz w:val="21"/>
              </w:rPr>
              <w:t>店员</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限授权门店与业务范围</w:t>
            </w:r>
          </w:p>
        </w:tc>
      </w:tr>
      <w:tr>
        <w:trPr>
          <w:cantSplit/>
        </w:trPr>
        <w:tc>
          <w:tcPr>
            <w:tcW w:type="dxa" w:w="2232"/>
            <w:vAlign w:val="center"/>
            <w:shd w:fill="F3F6F9"/>
          </w:tcPr>
          <w:p>
            <w:pPr>
              <w:spacing w:line="290" w:lineRule="exact" w:after="20" w:before="20"/>
            </w:pPr>
            <w:r>
              <w:rPr>
                <w:rFonts w:ascii="Microsoft YaHei" w:hAnsi="Microsoft YaHei" w:eastAsia="Microsoft YaHei"/>
                <w:b w:val="0"/>
                <w:color w:val="000000"/>
                <w:sz w:val="21"/>
              </w:rPr>
              <w:t>优惠越限或售后退款</w:t>
            </w:r>
          </w:p>
        </w:tc>
        <w:tc>
          <w:tcPr>
            <w:tcW w:type="dxa" w:w="3298"/>
            <w:vAlign w:val="center"/>
            <w:shd w:fill="F3F6F9"/>
          </w:tcPr>
          <w:p>
            <w:pPr>
              <w:spacing w:line="290" w:lineRule="exact" w:after="20" w:before="20"/>
            </w:pPr>
            <w:r>
              <w:rPr>
                <w:rFonts w:ascii="Microsoft YaHei" w:hAnsi="Microsoft YaHei" w:eastAsia="Microsoft YaHei"/>
                <w:b w:val="0"/>
                <w:color w:val="000000"/>
                <w:sz w:val="21"/>
              </w:rPr>
              <w:t>店员申请，店长审批</w:t>
            </w:r>
          </w:p>
        </w:tc>
        <w:tc>
          <w:tcPr>
            <w:tcW w:type="dxa" w:w="4464"/>
            <w:vAlign w:val="center"/>
            <w:shd w:fill="F3F6F9"/>
          </w:tcPr>
          <w:p>
            <w:pPr>
              <w:spacing w:line="290" w:lineRule="exact" w:after="20" w:before="20"/>
            </w:pPr>
            <w:r>
              <w:rPr>
                <w:rFonts w:ascii="Microsoft YaHei" w:hAnsi="Microsoft YaHei" w:eastAsia="Microsoft YaHei"/>
                <w:b w:val="0"/>
                <w:color w:val="000000"/>
                <w:sz w:val="21"/>
              </w:rPr>
              <w:t>记录原因、原值、审批结果和执行状态</w:t>
            </w:r>
          </w:p>
        </w:tc>
      </w:tr>
      <w:tr>
        <w:trPr>
          <w:cantSplit/>
        </w:trPr>
        <w:tc>
          <w:tcPr>
            <w:tcW w:type="dxa" w:w="2232"/>
            <w:vAlign w:val="center"/>
            <w:shd w:fill="FFFFFF"/>
          </w:tcPr>
          <w:p>
            <w:pPr>
              <w:spacing w:line="290" w:lineRule="exact" w:after="20" w:before="20"/>
            </w:pPr>
            <w:r>
              <w:rPr>
                <w:rFonts w:ascii="Microsoft YaHei" w:hAnsi="Microsoft YaHei" w:eastAsia="Microsoft YaHei"/>
                <w:b w:val="0"/>
                <w:color w:val="000000"/>
                <w:sz w:val="21"/>
              </w:rPr>
              <w:t>入出库与调拨</w:t>
            </w:r>
          </w:p>
        </w:tc>
        <w:tc>
          <w:tcPr>
            <w:tcW w:type="dxa" w:w="3298"/>
            <w:vAlign w:val="center"/>
            <w:shd w:fill="FFFFFF"/>
          </w:tcPr>
          <w:p>
            <w:pPr>
              <w:spacing w:line="290" w:lineRule="exact" w:after="20" w:before="20"/>
            </w:pPr>
            <w:r>
              <w:rPr>
                <w:rFonts w:ascii="Microsoft YaHei" w:hAnsi="Microsoft YaHei" w:eastAsia="Microsoft YaHei"/>
                <w:b w:val="0"/>
                <w:color w:val="000000"/>
                <w:sz w:val="21"/>
              </w:rPr>
              <w:t>库管，必要时店长审核</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校验数量、序列号和门店范围</w:t>
            </w:r>
          </w:p>
        </w:tc>
      </w:tr>
      <w:tr>
        <w:trPr>
          <w:cantSplit/>
        </w:trPr>
        <w:tc>
          <w:tcPr>
            <w:tcW w:type="dxa" w:w="2232"/>
            <w:vAlign w:val="center"/>
            <w:shd w:fill="F3F6F9"/>
          </w:tcPr>
          <w:p>
            <w:pPr>
              <w:spacing w:line="290" w:lineRule="exact" w:after="20" w:before="20"/>
            </w:pPr>
            <w:r>
              <w:rPr>
                <w:rFonts w:ascii="Microsoft YaHei" w:hAnsi="Microsoft YaHei" w:eastAsia="Microsoft YaHei"/>
                <w:b w:val="0"/>
                <w:color w:val="000000"/>
                <w:sz w:val="21"/>
              </w:rPr>
              <w:t>酬金对账与提成结算</w:t>
            </w:r>
          </w:p>
        </w:tc>
        <w:tc>
          <w:tcPr>
            <w:tcW w:type="dxa" w:w="3298"/>
            <w:vAlign w:val="center"/>
            <w:shd w:fill="F3F6F9"/>
          </w:tcPr>
          <w:p>
            <w:pPr>
              <w:spacing w:line="290" w:lineRule="exact" w:after="20" w:before="20"/>
            </w:pPr>
            <w:r>
              <w:rPr>
                <w:rFonts w:ascii="Microsoft YaHei" w:hAnsi="Microsoft YaHei" w:eastAsia="Microsoft YaHei"/>
                <w:b w:val="0"/>
                <w:color w:val="000000"/>
                <w:sz w:val="21"/>
              </w:rPr>
              <w:t>财务</w:t>
            </w:r>
          </w:p>
        </w:tc>
        <w:tc>
          <w:tcPr>
            <w:tcW w:type="dxa" w:w="4464"/>
            <w:vAlign w:val="center"/>
            <w:shd w:fill="F3F6F9"/>
          </w:tcPr>
          <w:p>
            <w:pPr>
              <w:spacing w:line="290" w:lineRule="exact" w:after="20" w:before="20"/>
            </w:pPr>
            <w:r>
              <w:rPr>
                <w:rFonts w:ascii="Microsoft YaHei" w:hAnsi="Microsoft YaHei" w:eastAsia="Microsoft YaHei"/>
                <w:b w:val="0"/>
                <w:color w:val="000000"/>
                <w:sz w:val="21"/>
              </w:rPr>
              <w:t>保存账期、账单和复核结果</w:t>
            </w:r>
          </w:p>
        </w:tc>
      </w:tr>
      <w:tr>
        <w:trPr>
          <w:cantSplit/>
        </w:trPr>
        <w:tc>
          <w:tcPr>
            <w:tcW w:type="dxa" w:w="2232"/>
            <w:vAlign w:val="center"/>
            <w:shd w:fill="FFFFFF"/>
          </w:tcPr>
          <w:p>
            <w:pPr>
              <w:spacing w:line="290" w:lineRule="exact" w:after="20" w:before="20"/>
            </w:pPr>
            <w:r>
              <w:rPr>
                <w:rFonts w:ascii="Microsoft YaHei" w:hAnsi="Microsoft YaHei" w:eastAsia="Microsoft YaHei"/>
                <w:b w:val="0"/>
                <w:color w:val="000000"/>
                <w:sz w:val="21"/>
              </w:rPr>
              <w:t>安装处理</w:t>
            </w:r>
          </w:p>
        </w:tc>
        <w:tc>
          <w:tcPr>
            <w:tcW w:type="dxa" w:w="3298"/>
            <w:vAlign w:val="center"/>
            <w:shd w:fill="FFFFFF"/>
          </w:tcPr>
          <w:p>
            <w:pPr>
              <w:spacing w:line="290" w:lineRule="exact" w:after="20" w:before="20"/>
            </w:pPr>
            <w:r>
              <w:rPr>
                <w:rFonts w:ascii="Microsoft YaHei" w:hAnsi="Microsoft YaHei" w:eastAsia="Microsoft YaHei"/>
                <w:b w:val="0"/>
                <w:color w:val="000000"/>
                <w:sz w:val="21"/>
              </w:rPr>
              <w:t>安装人员</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只开放本人任务及履约所需客户信息</w:t>
            </w:r>
          </w:p>
        </w:tc>
      </w:tr>
      <w:tr>
        <w:trPr>
          <w:cantSplit/>
        </w:trPr>
        <w:tc>
          <w:tcPr>
            <w:tcW w:type="dxa" w:w="2232"/>
            <w:vAlign w:val="center"/>
            <w:shd w:fill="F3F6F9"/>
          </w:tcPr>
          <w:p>
            <w:pPr>
              <w:spacing w:line="290" w:lineRule="exact" w:after="20" w:before="20"/>
            </w:pPr>
            <w:r>
              <w:rPr>
                <w:rFonts w:ascii="Microsoft YaHei" w:hAnsi="Microsoft YaHei" w:eastAsia="Microsoft YaHei"/>
                <w:b w:val="0"/>
                <w:color w:val="000000"/>
                <w:sz w:val="21"/>
              </w:rPr>
              <w:t>规则与 AI 版本发布</w:t>
            </w:r>
          </w:p>
        </w:tc>
        <w:tc>
          <w:tcPr>
            <w:tcW w:type="dxa" w:w="3298"/>
            <w:vAlign w:val="center"/>
            <w:shd w:fill="F3F6F9"/>
          </w:tcPr>
          <w:p>
            <w:pPr>
              <w:spacing w:line="290" w:lineRule="exact" w:after="20" w:before="20"/>
            </w:pPr>
            <w:r>
              <w:rPr>
                <w:rFonts w:ascii="Microsoft YaHei" w:hAnsi="Microsoft YaHei" w:eastAsia="Microsoft YaHei"/>
                <w:b w:val="0"/>
                <w:color w:val="000000"/>
                <w:sz w:val="21"/>
              </w:rPr>
              <w:t>管理员或授权店长</w:t>
            </w:r>
          </w:p>
        </w:tc>
        <w:tc>
          <w:tcPr>
            <w:tcW w:type="dxa" w:w="4464"/>
            <w:vAlign w:val="center"/>
            <w:shd w:fill="F3F6F9"/>
          </w:tcPr>
          <w:p>
            <w:pPr>
              <w:spacing w:line="290" w:lineRule="exact" w:after="20" w:before="20"/>
            </w:pPr>
            <w:r>
              <w:rPr>
                <w:rFonts w:ascii="Microsoft YaHei" w:hAnsi="Microsoft YaHei" w:eastAsia="Microsoft YaHei"/>
                <w:b w:val="0"/>
                <w:color w:val="000000"/>
                <w:sz w:val="21"/>
              </w:rPr>
              <w:t>保留版本和变更原因，可切回已验证版本</w:t>
            </w:r>
          </w:p>
        </w:tc>
      </w:tr>
    </w:tbl>
    <w:p>
      <w:pPr>
        <w:spacing w:after="0" w:before="0" w:line="80" w:lineRule="exact"/>
      </w:pPr>
      <w:r>
        <w:rPr>
          <w:sz w:val="6"/>
        </w:rPr>
      </w:r>
    </w:p>
    <w:p>
      <w:r>
        <w:rPr>
          <w:b w:val="0"/>
        </w:rPr>
        <w:t>权限由服务端统一校验，AI 工具调用遵循相同边界。客户查询、规则变更、退款、库存调整和结算等关键操作记录人员、时间、前后值、原因及人工或 AI 来源。</w:t>
      </w:r>
    </w:p>
    <w:p>
      <w:pPr>
        <w:pStyle w:val="Heading2"/>
      </w:pPr>
      <w:r>
        <w:t>7 4 待办与运营交接</w:t>
      </w:r>
    </w:p>
    <w:p>
      <w:r>
        <w:rPr>
          <w:b w:val="0"/>
        </w:rPr>
        <w:t>统一待办展示待审批退款、待核查账单、待交付安装、异常受理、客户到期跟进和 AI 改进任务。每条待办有来源、责任人、状态与期限；直接进入原业务处理，不建设通用流程编排平台。</w:t>
      </w:r>
    </w:p>
    <w:p>
      <w:pPr>
        <w:pStyle w:val="Heading1"/>
        <w:pageBreakBefore/>
      </w:pPr>
      <w:r>
        <w:t>8 数据架构与外部模拟</w:t>
      </w:r>
    </w:p>
    <w:p>
      <w:pPr>
        <w:pStyle w:val="Heading2"/>
      </w:pPr>
      <w:r>
        <w:t>8 1 最小架构</w:t>
      </w:r>
    </w:p>
    <w:p>
      <w:r>
        <w:rPr>
          <w:b w:val="0"/>
        </w:rPr>
        <w:t>沿用单一 Web 应用与关系型数据库，按客户资料、服务、交易、库存、工单和结算组织业务模块。业务服务统一承担权限、规则、金额和状态校验；模型只使用受控的查询与草稿生成能力。</w:t>
      </w:r>
    </w:p>
    <w:p>
      <w:r>
        <w:rPr>
          <w:b w:val="0"/>
        </w:rPr>
        <w:t>模型接入、BOSS Mock 和模拟支付各保留明确入口。先用数据库事务、唯一请求标识和少量状态规则处理一致性，不在无实际需求时引入消息集群、微服务或复杂多 Agent 编排。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2102"/>
        <w:gridCol w:w="7891"/>
      </w:tblGrid>
      <w:tr>
        <w:trPr>
          <w:cantSplit/>
          <w:tblHeader/>
        </w:trPr>
        <w:tc>
          <w:tcPr>
            <w:tcW w:type="dxa" w:w="2102"/>
            <w:vAlign w:val="center"/>
            <w:shd w:fill="17365D"/>
          </w:tcPr>
          <w:p>
            <w:pPr>
              <w:spacing w:line="290" w:lineRule="exact" w:after="20" w:before="20"/>
            </w:pPr>
            <w:r>
              <w:rPr>
                <w:rFonts w:ascii="Microsoft YaHei" w:hAnsi="Microsoft YaHei" w:eastAsia="Microsoft YaHei"/>
                <w:b/>
                <w:color w:val="FFFFFF"/>
                <w:sz w:val="21"/>
              </w:rPr>
              <w:t>核心对象</w:t>
            </w:r>
          </w:p>
        </w:tc>
        <w:tc>
          <w:tcPr>
            <w:tcW w:type="dxa" w:w="7891"/>
            <w:vAlign w:val="center"/>
            <w:shd w:fill="17365D"/>
          </w:tcPr>
          <w:p>
            <w:pPr>
              <w:spacing w:line="290" w:lineRule="exact" w:after="20" w:before="20"/>
            </w:pPr>
            <w:r>
              <w:rPr>
                <w:rFonts w:ascii="Microsoft YaHei" w:hAnsi="Microsoft YaHei" w:eastAsia="Microsoft YaHei"/>
                <w:b/>
                <w:color w:val="FFFFFF"/>
                <w:sz w:val="21"/>
              </w:rPr>
              <w:t>关键关联或快照</w:t>
            </w:r>
          </w:p>
        </w:tc>
      </w:tr>
      <w:tr>
        <w:trPr>
          <w:cantSplit/>
        </w:trPr>
        <w:tc>
          <w:tcPr>
            <w:tcW w:type="dxa" w:w="2102"/>
            <w:vAlign w:val="center"/>
            <w:shd w:fill="FFFFFF"/>
          </w:tcPr>
          <w:p>
            <w:pPr>
              <w:spacing w:line="290" w:lineRule="exact" w:after="20" w:before="20"/>
            </w:pPr>
            <w:r>
              <w:rPr>
                <w:rFonts w:ascii="Microsoft YaHei" w:hAnsi="Microsoft YaHei" w:eastAsia="Microsoft YaHei"/>
                <w:b w:val="0"/>
                <w:color w:val="000000"/>
                <w:sz w:val="21"/>
              </w:rPr>
              <w:t>客户与业务账号</w:t>
            </w:r>
          </w:p>
        </w:tc>
        <w:tc>
          <w:tcPr>
            <w:tcW w:type="dxa" w:w="7891"/>
            <w:vAlign w:val="center"/>
            <w:shd w:fill="FFFFFF"/>
          </w:tcPr>
          <w:p>
            <w:pPr>
              <w:spacing w:line="290" w:lineRule="exact" w:after="20" w:before="20"/>
            </w:pPr>
            <w:r>
              <w:rPr>
                <w:rFonts w:ascii="Microsoft YaHei" w:hAnsi="Microsoft YaHei" w:eastAsia="Microsoft YaHei"/>
                <w:b w:val="0"/>
                <w:color w:val="000000"/>
                <w:sz w:val="21"/>
              </w:rPr>
              <w:t>客户标识与账号标识分开，关联订购业务与合约</w:t>
            </w:r>
          </w:p>
        </w:tc>
      </w:tr>
      <w:tr>
        <w:trPr>
          <w:cantSplit/>
        </w:trPr>
        <w:tc>
          <w:tcPr>
            <w:tcW w:type="dxa" w:w="2102"/>
            <w:vAlign w:val="center"/>
            <w:shd w:fill="F3F6F9"/>
          </w:tcPr>
          <w:p>
            <w:pPr>
              <w:spacing w:line="290" w:lineRule="exact" w:after="20" w:before="20"/>
            </w:pPr>
            <w:r>
              <w:rPr>
                <w:rFonts w:ascii="Microsoft YaHei" w:hAnsi="Microsoft YaHei" w:eastAsia="Microsoft YaHei"/>
                <w:b w:val="0"/>
                <w:color w:val="000000"/>
                <w:sz w:val="21"/>
              </w:rPr>
              <w:t>产品政策</w:t>
            </w:r>
          </w:p>
        </w:tc>
        <w:tc>
          <w:tcPr>
            <w:tcW w:type="dxa" w:w="7891"/>
            <w:vAlign w:val="center"/>
            <w:shd w:fill="F3F6F9"/>
          </w:tcPr>
          <w:p>
            <w:pPr>
              <w:spacing w:line="290" w:lineRule="exact" w:after="20" w:before="20"/>
            </w:pPr>
            <w:r>
              <w:rPr>
                <w:rFonts w:ascii="Microsoft YaHei" w:hAnsi="Microsoft YaHei" w:eastAsia="Microsoft YaHei"/>
                <w:b w:val="0"/>
                <w:color w:val="000000"/>
                <w:sz w:val="21"/>
              </w:rPr>
              <w:t>实物、通信及安装服务类型；资费、活动、资格和版本</w:t>
            </w:r>
          </w:p>
        </w:tc>
      </w:tr>
      <w:tr>
        <w:trPr>
          <w:cantSplit/>
        </w:trPr>
        <w:tc>
          <w:tcPr>
            <w:tcW w:type="dxa" w:w="2102"/>
            <w:vAlign w:val="center"/>
            <w:shd w:fill="FFFFFF"/>
          </w:tcPr>
          <w:p>
            <w:pPr>
              <w:spacing w:line="290" w:lineRule="exact" w:after="20" w:before="20"/>
            </w:pPr>
            <w:r>
              <w:rPr>
                <w:rFonts w:ascii="Microsoft YaHei" w:hAnsi="Microsoft YaHei" w:eastAsia="Microsoft YaHei"/>
                <w:b w:val="0"/>
                <w:color w:val="000000"/>
                <w:sz w:val="21"/>
              </w:rPr>
              <w:t>服务记录</w:t>
            </w:r>
          </w:p>
        </w:tc>
        <w:tc>
          <w:tcPr>
            <w:tcW w:type="dxa" w:w="7891"/>
            <w:vAlign w:val="center"/>
            <w:shd w:fill="FFFFFF"/>
          </w:tcPr>
          <w:p>
            <w:pPr>
              <w:spacing w:line="290" w:lineRule="exact" w:after="20" w:before="20"/>
            </w:pPr>
            <w:r>
              <w:rPr>
                <w:rFonts w:ascii="Microsoft YaHei" w:hAnsi="Microsoft YaHei" w:eastAsia="Microsoft YaHei"/>
                <w:b w:val="0"/>
                <w:color w:val="000000"/>
                <w:sz w:val="21"/>
              </w:rPr>
              <w:t>取号、客户快照、需求、AI 输出、质检、人工确认与评价</w:t>
            </w:r>
          </w:p>
        </w:tc>
      </w:tr>
      <w:tr>
        <w:trPr>
          <w:cantSplit/>
        </w:trPr>
        <w:tc>
          <w:tcPr>
            <w:tcW w:type="dxa" w:w="2102"/>
            <w:vAlign w:val="center"/>
            <w:shd w:fill="F3F6F9"/>
          </w:tcPr>
          <w:p>
            <w:pPr>
              <w:spacing w:line="290" w:lineRule="exact" w:after="20" w:before="20"/>
            </w:pPr>
            <w:r>
              <w:rPr>
                <w:rFonts w:ascii="Microsoft YaHei" w:hAnsi="Microsoft YaHei" w:eastAsia="Microsoft YaHei"/>
                <w:b w:val="0"/>
                <w:color w:val="000000"/>
                <w:sz w:val="21"/>
              </w:rPr>
              <w:t>交易及子单</w:t>
            </w:r>
          </w:p>
        </w:tc>
        <w:tc>
          <w:tcPr>
            <w:tcW w:type="dxa" w:w="7891"/>
            <w:vAlign w:val="center"/>
            <w:shd w:fill="F3F6F9"/>
          </w:tcPr>
          <w:p>
            <w:pPr>
              <w:spacing w:line="290" w:lineRule="exact" w:after="20" w:before="20"/>
            </w:pPr>
            <w:r>
              <w:rPr>
                <w:rFonts w:ascii="Microsoft YaHei" w:hAnsi="Microsoft YaHei" w:eastAsia="Microsoft YaHei"/>
                <w:b w:val="0"/>
                <w:color w:val="000000"/>
                <w:sz w:val="21"/>
              </w:rPr>
              <w:t>客户、来源服务、销售、通信受理、工单、收付款和售后</w:t>
            </w:r>
          </w:p>
        </w:tc>
      </w:tr>
      <w:tr>
        <w:trPr>
          <w:cantSplit/>
        </w:trPr>
        <w:tc>
          <w:tcPr>
            <w:tcW w:type="dxa" w:w="2102"/>
            <w:vAlign w:val="center"/>
            <w:shd w:fill="FFFFFF"/>
          </w:tcPr>
          <w:p>
            <w:pPr>
              <w:spacing w:line="290" w:lineRule="exact" w:after="20" w:before="20"/>
            </w:pPr>
            <w:r>
              <w:rPr>
                <w:rFonts w:ascii="Microsoft YaHei" w:hAnsi="Microsoft YaHei" w:eastAsia="Microsoft YaHei"/>
                <w:b w:val="0"/>
                <w:color w:val="000000"/>
                <w:sz w:val="21"/>
              </w:rPr>
              <w:t>库存及设备</w:t>
            </w:r>
          </w:p>
        </w:tc>
        <w:tc>
          <w:tcPr>
            <w:tcW w:type="dxa" w:w="7891"/>
            <w:vAlign w:val="center"/>
            <w:shd w:fill="FFFFFF"/>
          </w:tcPr>
          <w:p>
            <w:pPr>
              <w:spacing w:line="290" w:lineRule="exact" w:after="20" w:before="20"/>
            </w:pPr>
            <w:r>
              <w:rPr>
                <w:rFonts w:ascii="Microsoft YaHei" w:hAnsi="Microsoft YaHei" w:eastAsia="Microsoft YaHei"/>
                <w:b w:val="0"/>
                <w:color w:val="000000"/>
                <w:sz w:val="21"/>
              </w:rPr>
              <w:t>商品、门店、序列号、采购、销售、调拨与盘点流水</w:t>
            </w:r>
          </w:p>
        </w:tc>
      </w:tr>
      <w:tr>
        <w:trPr>
          <w:cantSplit/>
        </w:trPr>
        <w:tc>
          <w:tcPr>
            <w:tcW w:type="dxa" w:w="2102"/>
            <w:vAlign w:val="center"/>
            <w:shd w:fill="F3F6F9"/>
          </w:tcPr>
          <w:p>
            <w:pPr>
              <w:spacing w:line="290" w:lineRule="exact" w:after="20" w:before="20"/>
            </w:pPr>
            <w:r>
              <w:rPr>
                <w:rFonts w:ascii="Microsoft YaHei" w:hAnsi="Microsoft YaHei" w:eastAsia="Microsoft YaHei"/>
                <w:b w:val="0"/>
                <w:color w:val="000000"/>
                <w:sz w:val="21"/>
              </w:rPr>
              <w:t>资金与收益</w:t>
            </w:r>
          </w:p>
        </w:tc>
        <w:tc>
          <w:tcPr>
            <w:tcW w:type="dxa" w:w="7891"/>
            <w:vAlign w:val="center"/>
            <w:shd w:fill="F3F6F9"/>
          </w:tcPr>
          <w:p>
            <w:pPr>
              <w:spacing w:line="290" w:lineRule="exact" w:after="20" w:before="20"/>
            </w:pPr>
            <w:r>
              <w:rPr>
                <w:rFonts w:ascii="Microsoft YaHei" w:hAnsi="Microsoft YaHei" w:eastAsia="Microsoft YaHei"/>
                <w:b w:val="0"/>
                <w:color w:val="000000"/>
                <w:sz w:val="21"/>
              </w:rPr>
              <w:t>收付款、账单、当期应结、到账、提成与冲销</w:t>
            </w:r>
          </w:p>
        </w:tc>
      </w:tr>
      <w:tr>
        <w:trPr>
          <w:cantSplit/>
        </w:trPr>
        <w:tc>
          <w:tcPr>
            <w:tcW w:type="dxa" w:w="2102"/>
            <w:vAlign w:val="center"/>
            <w:shd w:fill="FFFFFF"/>
          </w:tcPr>
          <w:p>
            <w:pPr>
              <w:spacing w:line="290" w:lineRule="exact" w:after="20" w:before="20"/>
            </w:pPr>
            <w:r>
              <w:rPr>
                <w:rFonts w:ascii="Microsoft YaHei" w:hAnsi="Microsoft YaHei" w:eastAsia="Microsoft YaHei"/>
                <w:b w:val="0"/>
                <w:color w:val="000000"/>
                <w:sz w:val="21"/>
              </w:rPr>
              <w:t>版本与审计</w:t>
            </w:r>
          </w:p>
        </w:tc>
        <w:tc>
          <w:tcPr>
            <w:tcW w:type="dxa" w:w="7891"/>
            <w:vAlign w:val="center"/>
            <w:shd w:fill="FFFFFF"/>
          </w:tcPr>
          <w:p>
            <w:pPr>
              <w:spacing w:line="290" w:lineRule="exact" w:after="20" w:before="20"/>
            </w:pPr>
            <w:r>
              <w:rPr>
                <w:rFonts w:ascii="Microsoft YaHei" w:hAnsi="Microsoft YaHei" w:eastAsia="Microsoft YaHei"/>
                <w:b w:val="0"/>
                <w:color w:val="000000"/>
                <w:sz w:val="21"/>
              </w:rPr>
              <w:t>提示词、模型参数、规则、测试集、操作与审批记录</w:t>
            </w:r>
          </w:p>
        </w:tc>
      </w:tr>
    </w:tbl>
    <w:p>
      <w:pPr>
        <w:spacing w:after="0" w:before="0" w:line="80" w:lineRule="exact"/>
      </w:pPr>
      <w:r>
        <w:rPr>
          <w:sz w:val="6"/>
        </w:rPr>
      </w:r>
    </w:p>
    <w:p>
      <w:pPr>
        <w:pStyle w:val="Heading2"/>
      </w:pPr>
      <w:r>
        <w:t>8 2 Mock 场景按阶段增加</w:t>
      </w:r>
    </w:p>
    <w:p>
      <w:r>
        <w:rPr>
          <w:b w:val="0"/>
        </w:rPr>
        <w:t>第一阶段支持查询成功或无资料、受理成功或失败、超时待核查及按请求标识查询；第二阶段增加通信状态更新、支付结果和账单导入；第三阶段增加延迟、重复或乱序结果、部分成功及冲正。</w:t>
      </w:r>
    </w:p>
    <w:p>
      <w:r>
        <w:rPr>
          <w:b w:val="0"/>
        </w:rPr>
        <w:t>模拟行为通过明确场景选择控制，演示可重复。所有模拟外部号、账单、支付和模型预置输出均有标识，避免把演示数据误认为真实交易。</w:t>
      </w:r>
    </w:p>
    <w:p>
      <w:pPr>
        <w:pStyle w:val="Heading2"/>
      </w:pPr>
      <w:r>
        <w:t>8 3 数据一致性与隐私</w:t>
      </w:r>
    </w:p>
    <w:p>
      <w:r>
        <w:rPr>
          <w:b w:val="0"/>
        </w:rPr>
        <w:t>重复请求不得重复扣库存、记收款或发提成；外部超时保留未决状态，先查询后决定是否重试；失败用调整或补偿记录说明，不伪造完成。金额按统一精度和舍入规则计算，历史按快照复现。</w:t>
      </w:r>
    </w:p>
    <w:p>
      <w:r>
        <w:rPr>
          <w:b w:val="0"/>
        </w:rPr>
        <w:t>演示环境只用模拟或充分脱敏资料。导出和公共视图隐藏不必要的号码等字段；模型只接收任务必要信息。每阶段保留数据初始化、备份和恢复说明，重置操作限定演示环境。</w:t>
      </w:r>
    </w:p>
    <w:p>
      <w:pPr>
        <w:pStyle w:val="Heading1"/>
        <w:pageBreakBefore/>
      </w:pPr>
      <w:r>
        <w:t>9 总体排期资源与范围控制</w:t>
      </w:r>
    </w:p>
    <w:p>
      <w:r>
        <w:rPr>
          <w:b w:val="0"/>
        </w:rPr>
        <w:t>按单人每周约 20 小时投入估算，总工作量为 400 至 520 小时，约 20 至 26 周。该估算面向受控范围的模拟系统；技术熟悉度、模型效果和业务规则变动都会影响进度。每阶段验收后重新估算下一阶段。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555"/>
        <w:gridCol w:w="2045"/>
        <w:gridCol w:w="4291"/>
        <w:gridCol w:w="2102"/>
      </w:tblGrid>
      <w:tr>
        <w:trPr>
          <w:cantSplit/>
          <w:tblHeader/>
        </w:trPr>
        <w:tc>
          <w:tcPr>
            <w:tcW w:type="dxa" w:w="1555"/>
            <w:vAlign w:val="center"/>
            <w:shd w:fill="17365D"/>
          </w:tcPr>
          <w:p>
            <w:pPr>
              <w:spacing w:line="290" w:lineRule="exact" w:after="20" w:before="20"/>
              <w:jc w:val="center"/>
            </w:pPr>
            <w:r>
              <w:rPr>
                <w:rFonts w:ascii="Microsoft YaHei" w:hAnsi="Microsoft YaHei" w:eastAsia="Microsoft YaHei"/>
                <w:b/>
                <w:color w:val="FFFFFF"/>
                <w:sz w:val="21"/>
              </w:rPr>
              <w:t>阶段</w:t>
            </w:r>
          </w:p>
        </w:tc>
        <w:tc>
          <w:tcPr>
            <w:tcW w:type="dxa" w:w="2045"/>
            <w:vAlign w:val="center"/>
            <w:shd w:fill="17365D"/>
          </w:tcPr>
          <w:p>
            <w:pPr>
              <w:spacing w:line="290" w:lineRule="exact" w:after="20" w:before="20"/>
            </w:pPr>
            <w:r>
              <w:rPr>
                <w:rFonts w:ascii="Microsoft YaHei" w:hAnsi="Microsoft YaHei" w:eastAsia="Microsoft YaHei"/>
                <w:b/>
                <w:color w:val="FFFFFF"/>
                <w:sz w:val="21"/>
              </w:rPr>
              <w:t>工作量与周期</w:t>
            </w:r>
          </w:p>
        </w:tc>
        <w:tc>
          <w:tcPr>
            <w:tcW w:type="dxa" w:w="4291"/>
            <w:vAlign w:val="center"/>
            <w:shd w:fill="17365D"/>
          </w:tcPr>
          <w:p>
            <w:pPr>
              <w:spacing w:line="290" w:lineRule="exact" w:after="20" w:before="20"/>
            </w:pPr>
            <w:r>
              <w:rPr>
                <w:rFonts w:ascii="Microsoft YaHei" w:hAnsi="Microsoft YaHei" w:eastAsia="Microsoft YaHei"/>
                <w:b/>
                <w:color w:val="FFFFFF"/>
                <w:sz w:val="21"/>
              </w:rPr>
              <w:t>内部顺序</w:t>
            </w:r>
          </w:p>
        </w:tc>
        <w:tc>
          <w:tcPr>
            <w:tcW w:type="dxa" w:w="2102"/>
            <w:vAlign w:val="center"/>
            <w:shd w:fill="17365D"/>
          </w:tcPr>
          <w:p>
            <w:pPr>
              <w:spacing w:line="290" w:lineRule="exact" w:after="20" w:before="20"/>
            </w:pPr>
            <w:r>
              <w:rPr>
                <w:rFonts w:ascii="Microsoft YaHei" w:hAnsi="Microsoft YaHei" w:eastAsia="Microsoft YaHei"/>
                <w:b/>
                <w:color w:val="FFFFFF"/>
                <w:sz w:val="21"/>
              </w:rPr>
              <w:t>阶段出口</w:t>
            </w:r>
          </w:p>
        </w:tc>
      </w:tr>
      <w:tr>
        <w:trPr>
          <w:cantSplit/>
        </w:trPr>
        <w:tc>
          <w:tcPr>
            <w:tcW w:type="dxa" w:w="1555"/>
            <w:vAlign w:val="center"/>
            <w:shd w:fill="FFFFFF"/>
          </w:tcPr>
          <w:p>
            <w:pPr>
              <w:spacing w:line="290" w:lineRule="exact" w:after="20" w:before="20"/>
              <w:jc w:val="center"/>
            </w:pPr>
            <w:r>
              <w:rPr>
                <w:rFonts w:ascii="Microsoft YaHei" w:hAnsi="Microsoft YaHei" w:eastAsia="Microsoft YaHei"/>
                <w:b w:val="0"/>
                <w:color w:val="000000"/>
                <w:sz w:val="21"/>
              </w:rPr>
              <w:t>第一阶段</w:t>
            </w:r>
          </w:p>
        </w:tc>
        <w:tc>
          <w:tcPr>
            <w:tcW w:type="dxa" w:w="2045"/>
            <w:vAlign w:val="center"/>
            <w:shd w:fill="FFFFFF"/>
          </w:tcPr>
          <w:p>
            <w:pPr>
              <w:spacing w:line="290" w:lineRule="exact" w:after="20" w:before="20"/>
            </w:pPr>
            <w:r>
              <w:rPr>
                <w:rFonts w:ascii="Microsoft YaHei" w:hAnsi="Microsoft YaHei" w:eastAsia="Microsoft YaHei"/>
                <w:b w:val="0"/>
                <w:color w:val="000000"/>
                <w:sz w:val="21"/>
              </w:rPr>
              <w:t>120至160小时</w:t>
              <w:br/>
              <w:t>6至8周</w:t>
            </w:r>
          </w:p>
        </w:tc>
        <w:tc>
          <w:tcPr>
            <w:tcW w:type="dxa" w:w="4291"/>
            <w:vAlign w:val="center"/>
            <w:shd w:fill="FFFFFF"/>
          </w:tcPr>
          <w:p>
            <w:pPr>
              <w:spacing w:line="290" w:lineRule="exact" w:after="20" w:before="20"/>
            </w:pPr>
            <w:r>
              <w:rPr>
                <w:rFonts w:ascii="Microsoft YaHei" w:hAnsi="Microsoft YaHei" w:eastAsia="Microsoft YaHei"/>
                <w:b w:val="0"/>
                <w:color w:val="000000"/>
                <w:sz w:val="21"/>
              </w:rPr>
              <w:t>资料与查询 → 推荐质检 → 排队受理 → 评价复盘 → 评测整理</w:t>
            </w:r>
          </w:p>
        </w:tc>
        <w:tc>
          <w:tcPr>
            <w:tcW w:type="dxa" w:w="2102"/>
            <w:vAlign w:val="center"/>
            <w:shd w:fill="FFFFFF"/>
          </w:tcPr>
          <w:p>
            <w:pPr>
              <w:spacing w:line="290" w:lineRule="exact" w:after="20" w:before="20"/>
            </w:pPr>
            <w:r>
              <w:rPr>
                <w:rFonts w:ascii="Microsoft YaHei" w:hAnsi="Microsoft YaHei" w:eastAsia="Microsoft YaHei"/>
                <w:b w:val="0"/>
                <w:color w:val="000000"/>
                <w:sz w:val="21"/>
              </w:rPr>
              <w:t>独立工作台与一次改进证据</w:t>
            </w:r>
          </w:p>
        </w:tc>
      </w:tr>
      <w:tr>
        <w:trPr>
          <w:cantSplit/>
        </w:trPr>
        <w:tc>
          <w:tcPr>
            <w:tcW w:type="dxa" w:w="1555"/>
            <w:vAlign w:val="center"/>
            <w:shd w:fill="F3F6F9"/>
          </w:tcPr>
          <w:p>
            <w:pPr>
              <w:spacing w:line="290" w:lineRule="exact" w:after="20" w:before="20"/>
              <w:jc w:val="center"/>
            </w:pPr>
            <w:r>
              <w:rPr>
                <w:rFonts w:ascii="Microsoft YaHei" w:hAnsi="Microsoft YaHei" w:eastAsia="Microsoft YaHei"/>
                <w:b w:val="0"/>
                <w:color w:val="000000"/>
                <w:sz w:val="21"/>
              </w:rPr>
              <w:t>第二阶段</w:t>
            </w:r>
          </w:p>
        </w:tc>
        <w:tc>
          <w:tcPr>
            <w:tcW w:type="dxa" w:w="2045"/>
            <w:vAlign w:val="center"/>
            <w:shd w:fill="F3F6F9"/>
          </w:tcPr>
          <w:p>
            <w:pPr>
              <w:spacing w:line="290" w:lineRule="exact" w:after="20" w:before="20"/>
            </w:pPr>
            <w:r>
              <w:rPr>
                <w:rFonts w:ascii="Microsoft YaHei" w:hAnsi="Microsoft YaHei" w:eastAsia="Microsoft YaHei"/>
                <w:b w:val="0"/>
                <w:color w:val="000000"/>
                <w:sz w:val="21"/>
              </w:rPr>
              <w:t>160至200小时</w:t>
              <w:br/>
              <w:t>8至10周</w:t>
            </w:r>
          </w:p>
        </w:tc>
        <w:tc>
          <w:tcPr>
            <w:tcW w:type="dxa" w:w="4291"/>
            <w:vAlign w:val="center"/>
            <w:shd w:fill="F3F6F9"/>
          </w:tcPr>
          <w:p>
            <w:pPr>
              <w:spacing w:line="290" w:lineRule="exact" w:after="20" w:before="20"/>
            </w:pPr>
            <w:r>
              <w:rPr>
                <w:rFonts w:ascii="Microsoft YaHei" w:hAnsi="Microsoft YaHei" w:eastAsia="Microsoft YaHei"/>
                <w:b w:val="0"/>
                <w:color w:val="000000"/>
                <w:sz w:val="21"/>
              </w:rPr>
              <w:t>客户产品 → 采购库存 → 销售收银受理 → 工单收益 → AI 扩展看板</w:t>
            </w:r>
          </w:p>
        </w:tc>
        <w:tc>
          <w:tcPr>
            <w:tcW w:type="dxa" w:w="2102"/>
            <w:vAlign w:val="center"/>
            <w:shd w:fill="F3F6F9"/>
          </w:tcPr>
          <w:p>
            <w:pPr>
              <w:spacing w:line="290" w:lineRule="exact" w:after="20" w:before="20"/>
            </w:pPr>
            <w:r>
              <w:rPr>
                <w:rFonts w:ascii="Microsoft YaHei" w:hAnsi="Microsoft YaHei" w:eastAsia="Microsoft YaHei"/>
                <w:b w:val="0"/>
                <w:color w:val="000000"/>
                <w:sz w:val="21"/>
              </w:rPr>
              <w:t>正常经营流程关联并可操作</w:t>
            </w:r>
          </w:p>
        </w:tc>
      </w:tr>
      <w:tr>
        <w:trPr>
          <w:cantSplit/>
        </w:trPr>
        <w:tc>
          <w:tcPr>
            <w:tcW w:type="dxa" w:w="1555"/>
            <w:vAlign w:val="center"/>
            <w:shd w:fill="FFFFFF"/>
          </w:tcPr>
          <w:p>
            <w:pPr>
              <w:spacing w:line="290" w:lineRule="exact" w:after="20" w:before="20"/>
              <w:jc w:val="center"/>
            </w:pPr>
            <w:r>
              <w:rPr>
                <w:rFonts w:ascii="Microsoft YaHei" w:hAnsi="Microsoft YaHei" w:eastAsia="Microsoft YaHei"/>
                <w:b w:val="0"/>
                <w:color w:val="000000"/>
                <w:sz w:val="21"/>
              </w:rPr>
              <w:t>第三阶段</w:t>
            </w:r>
          </w:p>
        </w:tc>
        <w:tc>
          <w:tcPr>
            <w:tcW w:type="dxa" w:w="2045"/>
            <w:vAlign w:val="center"/>
            <w:shd w:fill="FFFFFF"/>
          </w:tcPr>
          <w:p>
            <w:pPr>
              <w:spacing w:line="290" w:lineRule="exact" w:after="20" w:before="20"/>
            </w:pPr>
            <w:r>
              <w:rPr>
                <w:rFonts w:ascii="Microsoft YaHei" w:hAnsi="Microsoft YaHei" w:eastAsia="Microsoft YaHei"/>
                <w:b w:val="0"/>
                <w:color w:val="000000"/>
                <w:sz w:val="21"/>
              </w:rPr>
              <w:t>120至160小时</w:t>
              <w:br/>
              <w:t>6至8周</w:t>
            </w:r>
          </w:p>
        </w:tc>
        <w:tc>
          <w:tcPr>
            <w:tcW w:type="dxa" w:w="4291"/>
            <w:vAlign w:val="center"/>
            <w:shd w:fill="FFFFFF"/>
          </w:tcPr>
          <w:p>
            <w:pPr>
              <w:spacing w:line="290" w:lineRule="exact" w:after="20" w:before="20"/>
            </w:pPr>
            <w:r>
              <w:rPr>
                <w:rFonts w:ascii="Microsoft YaHei" w:hAnsi="Microsoft YaHei" w:eastAsia="Microsoft YaHei"/>
                <w:b w:val="0"/>
                <w:color w:val="000000"/>
                <w:sz w:val="21"/>
              </w:rPr>
              <w:t>组合交易售后 → 跨期结算调拨 → 权限待办 → 异常与总体验收</w:t>
            </w:r>
          </w:p>
        </w:tc>
        <w:tc>
          <w:tcPr>
            <w:tcW w:type="dxa" w:w="2102"/>
            <w:vAlign w:val="center"/>
            <w:shd w:fill="FFFFFF"/>
          </w:tcPr>
          <w:p>
            <w:pPr>
              <w:spacing w:line="290" w:lineRule="exact" w:after="20" w:before="20"/>
            </w:pPr>
            <w:r>
              <w:rPr>
                <w:rFonts w:ascii="Microsoft YaHei" w:hAnsi="Microsoft YaHei" w:eastAsia="Microsoft YaHei"/>
                <w:b w:val="0"/>
                <w:color w:val="000000"/>
                <w:sz w:val="21"/>
              </w:rPr>
              <w:t>代表性异常能收尾且数据一致</w:t>
            </w:r>
          </w:p>
        </w:tc>
      </w:tr>
    </w:tbl>
    <w:p>
      <w:pPr>
        <w:spacing w:after="0" w:before="0" w:line="80" w:lineRule="exact"/>
      </w:pPr>
      <w:r>
        <w:rPr>
          <w:sz w:val="6"/>
        </w:rPr>
      </w:r>
    </w:p>
    <w:p>
      <w:pPr>
        <w:pStyle w:val="Heading2"/>
      </w:pPr>
      <w:r>
        <w:t>9 1 建设依赖</w:t>
      </w:r>
    </w:p>
    <w:p>
      <w:r>
        <w:rPr>
          <w:b w:val="0"/>
        </w:rPr>
        <w:t>推荐依赖有效的客户与政策资料；评价和复盘依赖服务记录；销售出库依赖库存；安装与收益依赖来源订单及完成状态；退款冲销依赖原交易、收付款和规则快照。按这些依赖安排开发，不先建设无数据来源的看板。</w:t>
      </w:r>
    </w:p>
    <w:p>
      <w:pPr>
        <w:pStyle w:val="Heading2"/>
      </w:pPr>
      <w:r>
        <w:t>9 2 工作与费用安排</w:t>
      </w:r>
    </w:p>
    <w:p>
      <w:r>
        <w:rPr>
          <w:b w:val="0"/>
        </w:rPr>
        <w:t>单人分别完成需求定义、实现、业务标注和验收；如有第二人参与，优先分担样本核对与体验验收。用每阶段固定交付物管理进度，不以页面数量判断完成度。</w:t>
      </w:r>
    </w:p>
    <w:p>
      <w:r>
        <w:rPr>
          <w:b w:val="0"/>
        </w:rPr>
        <w:t>运行费用分为模型测试、演示托管与存储。先在本地建立可复现演示，再根据实际使用量选择托管方式。记录调用数量与成本，设置额度上限；不预设未测量的成本节省或效率提升。</w:t>
      </w:r>
    </w:p>
    <w:p>
      <w:pPr>
        <w:pStyle w:val="Heading2"/>
      </w:pPr>
      <w:r>
        <w:t>9 3 风险与处理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2232"/>
        <w:gridCol w:w="7762"/>
      </w:tblGrid>
      <w:tr>
        <w:trPr>
          <w:cantSplit/>
          <w:tblHeader/>
        </w:trPr>
        <w:tc>
          <w:tcPr>
            <w:tcW w:type="dxa" w:w="2232"/>
            <w:vAlign w:val="center"/>
            <w:shd w:fill="17365D"/>
          </w:tcPr>
          <w:p>
            <w:pPr>
              <w:spacing w:line="290" w:lineRule="exact" w:after="20" w:before="20"/>
            </w:pPr>
            <w:r>
              <w:rPr>
                <w:rFonts w:ascii="Microsoft YaHei" w:hAnsi="Microsoft YaHei" w:eastAsia="Microsoft YaHei"/>
                <w:b/>
                <w:color w:val="FFFFFF"/>
                <w:sz w:val="21"/>
              </w:rPr>
              <w:t>风险</w:t>
            </w:r>
          </w:p>
        </w:tc>
        <w:tc>
          <w:tcPr>
            <w:tcW w:type="dxa" w:w="7762"/>
            <w:vAlign w:val="center"/>
            <w:shd w:fill="17365D"/>
          </w:tcPr>
          <w:p>
            <w:pPr>
              <w:spacing w:line="290" w:lineRule="exact" w:after="20" w:before="20"/>
            </w:pPr>
            <w:r>
              <w:rPr>
                <w:rFonts w:ascii="Microsoft YaHei" w:hAnsi="Microsoft YaHei" w:eastAsia="Microsoft YaHei"/>
                <w:b/>
                <w:color w:val="FFFFFF"/>
                <w:sz w:val="21"/>
              </w:rPr>
              <w:t>控制措施</w:t>
            </w:r>
          </w:p>
        </w:tc>
      </w:tr>
      <w:tr>
        <w:trPr>
          <w:cantSplit/>
        </w:trPr>
        <w:tc>
          <w:tcPr>
            <w:tcW w:type="dxa" w:w="2232"/>
            <w:vAlign w:val="center"/>
            <w:shd w:fill="FFFFFF"/>
          </w:tcPr>
          <w:p>
            <w:pPr>
              <w:spacing w:line="290" w:lineRule="exact" w:after="20" w:before="20"/>
            </w:pPr>
            <w:r>
              <w:rPr>
                <w:rFonts w:ascii="Microsoft YaHei" w:hAnsi="Microsoft YaHei" w:eastAsia="Microsoft YaHei"/>
                <w:b w:val="0"/>
                <w:color w:val="000000"/>
                <w:sz w:val="21"/>
              </w:rPr>
              <w:t>第一阶段范围过重</w:t>
            </w:r>
          </w:p>
        </w:tc>
        <w:tc>
          <w:tcPr>
            <w:tcW w:type="dxa" w:w="7762"/>
            <w:vAlign w:val="center"/>
            <w:shd w:fill="FFFFFF"/>
          </w:tcPr>
          <w:p>
            <w:pPr>
              <w:spacing w:line="290" w:lineRule="exact" w:after="20" w:before="20"/>
            </w:pPr>
            <w:r>
              <w:rPr>
                <w:rFonts w:ascii="Microsoft YaHei" w:hAnsi="Microsoft YaHei" w:eastAsia="Microsoft YaHei"/>
                <w:b w:val="0"/>
                <w:color w:val="000000"/>
                <w:sz w:val="21"/>
              </w:rPr>
              <w:t>按内部顺序推进；删减装饰和样本规模，保留服务关联与验收</w:t>
            </w:r>
          </w:p>
        </w:tc>
      </w:tr>
      <w:tr>
        <w:trPr>
          <w:cantSplit/>
        </w:trPr>
        <w:tc>
          <w:tcPr>
            <w:tcW w:type="dxa" w:w="2232"/>
            <w:vAlign w:val="center"/>
            <w:shd w:fill="F3F6F9"/>
          </w:tcPr>
          <w:p>
            <w:pPr>
              <w:spacing w:line="290" w:lineRule="exact" w:after="20" w:before="20"/>
            </w:pPr>
            <w:r>
              <w:rPr>
                <w:rFonts w:ascii="Microsoft YaHei" w:hAnsi="Microsoft YaHei" w:eastAsia="Microsoft YaHei"/>
                <w:b w:val="0"/>
                <w:color w:val="000000"/>
                <w:sz w:val="21"/>
              </w:rPr>
              <w:t>业务规则不清</w:t>
            </w:r>
          </w:p>
        </w:tc>
        <w:tc>
          <w:tcPr>
            <w:tcW w:type="dxa" w:w="7762"/>
            <w:vAlign w:val="center"/>
            <w:shd w:fill="F3F6F9"/>
          </w:tcPr>
          <w:p>
            <w:pPr>
              <w:spacing w:line="290" w:lineRule="exact" w:after="20" w:before="20"/>
            </w:pPr>
            <w:r>
              <w:rPr>
                <w:rFonts w:ascii="Microsoft YaHei" w:hAnsi="Microsoft YaHei" w:eastAsia="Microsoft YaHei"/>
                <w:b w:val="0"/>
                <w:color w:val="000000"/>
                <w:sz w:val="21"/>
              </w:rPr>
              <w:t>先为代表性场景写输入、规则与预期结果，再实现对应流程</w:t>
            </w:r>
          </w:p>
        </w:tc>
      </w:tr>
      <w:tr>
        <w:trPr>
          <w:cantSplit/>
        </w:trPr>
        <w:tc>
          <w:tcPr>
            <w:tcW w:type="dxa" w:w="2232"/>
            <w:vAlign w:val="center"/>
            <w:shd w:fill="FFFFFF"/>
          </w:tcPr>
          <w:p>
            <w:pPr>
              <w:spacing w:line="290" w:lineRule="exact" w:after="20" w:before="20"/>
            </w:pPr>
            <w:r>
              <w:rPr>
                <w:rFonts w:ascii="Microsoft YaHei" w:hAnsi="Microsoft YaHei" w:eastAsia="Microsoft YaHei"/>
                <w:b w:val="0"/>
                <w:color w:val="000000"/>
                <w:sz w:val="21"/>
              </w:rPr>
              <w:t>模型不稳定</w:t>
            </w:r>
          </w:p>
        </w:tc>
        <w:tc>
          <w:tcPr>
            <w:tcW w:type="dxa" w:w="7762"/>
            <w:vAlign w:val="center"/>
            <w:shd w:fill="FFFFFF"/>
          </w:tcPr>
          <w:p>
            <w:pPr>
              <w:spacing w:line="290" w:lineRule="exact" w:after="20" w:before="20"/>
            </w:pPr>
            <w:r>
              <w:rPr>
                <w:rFonts w:ascii="Microsoft YaHei" w:hAnsi="Microsoft YaHei" w:eastAsia="Microsoft YaHei"/>
                <w:b w:val="0"/>
                <w:color w:val="000000"/>
                <w:sz w:val="21"/>
              </w:rPr>
              <w:t>事实与金额交由规则校验，失败时人工接手，版本修改后局部复测</w:t>
            </w:r>
          </w:p>
        </w:tc>
      </w:tr>
      <w:tr>
        <w:trPr>
          <w:cantSplit/>
        </w:trPr>
        <w:tc>
          <w:tcPr>
            <w:tcW w:type="dxa" w:w="2232"/>
            <w:vAlign w:val="center"/>
            <w:shd w:fill="F3F6F9"/>
          </w:tcPr>
          <w:p>
            <w:pPr>
              <w:spacing w:line="290" w:lineRule="exact" w:after="20" w:before="20"/>
            </w:pPr>
            <w:r>
              <w:rPr>
                <w:rFonts w:ascii="Microsoft YaHei" w:hAnsi="Microsoft YaHei" w:eastAsia="Microsoft YaHei"/>
                <w:b w:val="0"/>
                <w:color w:val="000000"/>
                <w:sz w:val="21"/>
              </w:rPr>
              <w:t>跨模块状态不一致</w:t>
            </w:r>
          </w:p>
        </w:tc>
        <w:tc>
          <w:tcPr>
            <w:tcW w:type="dxa" w:w="7762"/>
            <w:vAlign w:val="center"/>
            <w:shd w:fill="F3F6F9"/>
          </w:tcPr>
          <w:p>
            <w:pPr>
              <w:spacing w:line="290" w:lineRule="exact" w:after="20" w:before="20"/>
            </w:pPr>
            <w:r>
              <w:rPr>
                <w:rFonts w:ascii="Microsoft YaHei" w:hAnsi="Microsoft YaHei" w:eastAsia="Microsoft YaHei"/>
                <w:b w:val="0"/>
                <w:color w:val="000000"/>
                <w:sz w:val="21"/>
              </w:rPr>
              <w:t>使用来源标识、状态规则、事务和防重复机制，保留未决任务</w:t>
            </w:r>
          </w:p>
        </w:tc>
      </w:tr>
      <w:tr>
        <w:trPr>
          <w:cantSplit/>
        </w:trPr>
        <w:tc>
          <w:tcPr>
            <w:tcW w:type="dxa" w:w="2232"/>
            <w:vAlign w:val="center"/>
            <w:shd w:fill="FFFFFF"/>
          </w:tcPr>
          <w:p>
            <w:pPr>
              <w:spacing w:line="290" w:lineRule="exact" w:after="20" w:before="20"/>
            </w:pPr>
            <w:r>
              <w:rPr>
                <w:rFonts w:ascii="Microsoft YaHei" w:hAnsi="Microsoft YaHei" w:eastAsia="Microsoft YaHei"/>
                <w:b w:val="0"/>
                <w:color w:val="000000"/>
                <w:sz w:val="21"/>
              </w:rPr>
              <w:t>外部接入扩大范围</w:t>
            </w:r>
          </w:p>
        </w:tc>
        <w:tc>
          <w:tcPr>
            <w:tcW w:type="dxa" w:w="7762"/>
            <w:vAlign w:val="center"/>
            <w:shd w:fill="FFFFFF"/>
          </w:tcPr>
          <w:p>
            <w:pPr>
              <w:spacing w:line="290" w:lineRule="exact" w:after="20" w:before="20"/>
            </w:pPr>
            <w:r>
              <w:rPr>
                <w:rFonts w:ascii="Microsoft YaHei" w:hAnsi="Microsoft YaHei" w:eastAsia="Microsoft YaHei"/>
                <w:b w:val="0"/>
                <w:color w:val="000000"/>
                <w:sz w:val="21"/>
              </w:rPr>
              <w:t>本轮保持 Mock；真实系统接入另行评估接口、授权和运维</w:t>
            </w:r>
          </w:p>
        </w:tc>
      </w:tr>
    </w:tbl>
    <w:p>
      <w:pPr>
        <w:spacing w:after="0" w:before="0" w:line="80" w:lineRule="exact"/>
      </w:pPr>
      <w:r>
        <w:rPr>
          <w:sz w:val="6"/>
        </w:rPr>
      </w:r>
    </w:p>
    <w:p>
      <w:pPr>
        <w:pStyle w:val="Heading1"/>
        <w:pageBreakBefore/>
      </w:pPr>
      <w:r>
        <w:t>10 分阶段验收与最终交付</w:t>
      </w:r>
    </w:p>
    <w:p>
      <w:pPr>
        <w:pStyle w:val="Heading2"/>
      </w:pPr>
      <w:r>
        <w:t>10 1 验收场景矩阵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105" w:type="dxa"/>
          <w:right w:w="105" w:type="dxa"/>
        </w:tblCellMar>
      </w:tblPr>
      <w:tblGrid>
        <w:gridCol w:w="1512"/>
        <w:gridCol w:w="4464"/>
        <w:gridCol w:w="4018"/>
      </w:tblGrid>
      <w:tr>
        <w:trPr>
          <w:cantSplit/>
          <w:tblHeader/>
        </w:trPr>
        <w:tc>
          <w:tcPr>
            <w:tcW w:type="dxa" w:w="1512"/>
            <w:vAlign w:val="center"/>
            <w:shd w:fill="17365D"/>
          </w:tcPr>
          <w:p>
            <w:pPr>
              <w:spacing w:line="290" w:lineRule="exact" w:after="20" w:before="20"/>
              <w:jc w:val="center"/>
            </w:pPr>
            <w:r>
              <w:rPr>
                <w:rFonts w:ascii="Microsoft YaHei" w:hAnsi="Microsoft YaHei" w:eastAsia="Microsoft YaHei"/>
                <w:b/>
                <w:color w:val="FFFFFF"/>
                <w:sz w:val="21"/>
              </w:rPr>
              <w:t>阶段</w:t>
            </w:r>
          </w:p>
        </w:tc>
        <w:tc>
          <w:tcPr>
            <w:tcW w:type="dxa" w:w="4464"/>
            <w:vAlign w:val="center"/>
            <w:shd w:fill="17365D"/>
          </w:tcPr>
          <w:p>
            <w:pPr>
              <w:spacing w:line="290" w:lineRule="exact" w:after="20" w:before="20"/>
            </w:pPr>
            <w:r>
              <w:rPr>
                <w:rFonts w:ascii="Microsoft YaHei" w:hAnsi="Microsoft YaHei" w:eastAsia="Microsoft YaHei"/>
                <w:b/>
                <w:color w:val="FFFFFF"/>
                <w:sz w:val="21"/>
              </w:rPr>
              <w:t>必演示场景</w:t>
            </w:r>
          </w:p>
        </w:tc>
        <w:tc>
          <w:tcPr>
            <w:tcW w:type="dxa" w:w="4018"/>
            <w:vAlign w:val="center"/>
            <w:shd w:fill="17365D"/>
          </w:tcPr>
          <w:p>
            <w:pPr>
              <w:spacing w:line="290" w:lineRule="exact" w:after="20" w:before="20"/>
            </w:pPr>
            <w:r>
              <w:rPr>
                <w:rFonts w:ascii="Microsoft YaHei" w:hAnsi="Microsoft YaHei" w:eastAsia="Microsoft YaHei"/>
                <w:b/>
                <w:color w:val="FFFFFF"/>
                <w:sz w:val="21"/>
              </w:rPr>
              <w:t>验收证据</w:t>
            </w:r>
          </w:p>
        </w:tc>
      </w:tr>
      <w:tr>
        <w:trPr>
          <w:cantSplit/>
        </w:trPr>
        <w:tc>
          <w:tcPr>
            <w:tcW w:type="dxa" w:w="1512"/>
            <w:vAlign w:val="center"/>
            <w:shd w:fill="FFFFFF"/>
          </w:tcPr>
          <w:p>
            <w:pPr>
              <w:spacing w:line="290" w:lineRule="exact" w:after="20" w:before="20"/>
              <w:jc w:val="center"/>
            </w:pPr>
            <w:r>
              <w:rPr>
                <w:rFonts w:ascii="Microsoft YaHei" w:hAnsi="Microsoft YaHei" w:eastAsia="Microsoft YaHei"/>
                <w:b w:val="0"/>
                <w:color w:val="000000"/>
                <w:sz w:val="21"/>
              </w:rPr>
              <w:t>第一阶段</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号码查询、方案推荐或保留、质检、排队受理、评价、后台改进</w:t>
            </w:r>
          </w:p>
        </w:tc>
        <w:tc>
          <w:tcPr>
            <w:tcW w:type="dxa" w:w="4018"/>
            <w:vAlign w:val="center"/>
            <w:shd w:fill="FFFFFF"/>
          </w:tcPr>
          <w:p>
            <w:pPr>
              <w:spacing w:line="290" w:lineRule="exact" w:after="20" w:before="20"/>
            </w:pPr>
            <w:r>
              <w:rPr>
                <w:rFonts w:ascii="Microsoft YaHei" w:hAnsi="Microsoft YaHei" w:eastAsia="Microsoft YaHei"/>
                <w:b w:val="0"/>
                <w:color w:val="000000"/>
                <w:sz w:val="21"/>
              </w:rPr>
              <w:t>同一服务的完整记录，30 条起步用例和实际版本对比</w:t>
            </w:r>
          </w:p>
        </w:tc>
      </w:tr>
      <w:tr>
        <w:trPr>
          <w:cantSplit/>
        </w:trPr>
        <w:tc>
          <w:tcPr>
            <w:tcW w:type="dxa" w:w="1512"/>
            <w:vAlign w:val="center"/>
            <w:shd w:fill="F3F6F9"/>
          </w:tcPr>
          <w:p>
            <w:pPr>
              <w:spacing w:line="290" w:lineRule="exact" w:after="20" w:before="20"/>
              <w:jc w:val="center"/>
            </w:pPr>
            <w:r>
              <w:rPr>
                <w:rFonts w:ascii="Microsoft YaHei" w:hAnsi="Microsoft YaHei" w:eastAsia="Microsoft YaHei"/>
                <w:b w:val="0"/>
                <w:color w:val="000000"/>
                <w:sz w:val="21"/>
              </w:rPr>
              <w:t>第二阶段</w:t>
            </w:r>
          </w:p>
        </w:tc>
        <w:tc>
          <w:tcPr>
            <w:tcW w:type="dxa" w:w="4464"/>
            <w:vAlign w:val="center"/>
            <w:shd w:fill="F3F6F9"/>
          </w:tcPr>
          <w:p>
            <w:pPr>
              <w:spacing w:line="290" w:lineRule="exact" w:after="20" w:before="20"/>
            </w:pPr>
            <w:r>
              <w:rPr>
                <w:rFonts w:ascii="Microsoft YaHei" w:hAnsi="Microsoft YaHei" w:eastAsia="Microsoft YaHei"/>
                <w:b w:val="0"/>
                <w:color w:val="000000"/>
                <w:sz w:val="21"/>
              </w:rPr>
              <w:t>采购入库 → 销售收款 → 出库；通信受理 → 安装 → 收益与提成</w:t>
            </w:r>
          </w:p>
        </w:tc>
        <w:tc>
          <w:tcPr>
            <w:tcW w:type="dxa" w:w="4018"/>
            <w:vAlign w:val="center"/>
            <w:shd w:fill="F3F6F9"/>
          </w:tcPr>
          <w:p>
            <w:pPr>
              <w:spacing w:line="290" w:lineRule="exact" w:after="20" w:before="20"/>
            </w:pPr>
            <w:r>
              <w:rPr>
                <w:rFonts w:ascii="Microsoft YaHei" w:hAnsi="Microsoft YaHei" w:eastAsia="Microsoft YaHei"/>
                <w:b w:val="0"/>
                <w:color w:val="000000"/>
                <w:sz w:val="21"/>
              </w:rPr>
              <w:t>源单、库存、资金、工单及收益台账关联，汇总与明细一致</w:t>
            </w:r>
          </w:p>
        </w:tc>
      </w:tr>
      <w:tr>
        <w:trPr>
          <w:cantSplit/>
        </w:trPr>
        <w:tc>
          <w:tcPr>
            <w:tcW w:type="dxa" w:w="1512"/>
            <w:vAlign w:val="center"/>
            <w:shd w:fill="FFFFFF"/>
          </w:tcPr>
          <w:p>
            <w:pPr>
              <w:spacing w:line="290" w:lineRule="exact" w:after="20" w:before="20"/>
              <w:jc w:val="center"/>
            </w:pPr>
            <w:r>
              <w:rPr>
                <w:rFonts w:ascii="Microsoft YaHei" w:hAnsi="Microsoft YaHei" w:eastAsia="Microsoft YaHei"/>
                <w:b w:val="0"/>
                <w:color w:val="000000"/>
                <w:sz w:val="21"/>
              </w:rPr>
              <w:t>第三阶段</w:t>
            </w:r>
          </w:p>
        </w:tc>
        <w:tc>
          <w:tcPr>
            <w:tcW w:type="dxa" w:w="4464"/>
            <w:vAlign w:val="center"/>
            <w:shd w:fill="FFFFFF"/>
          </w:tcPr>
          <w:p>
            <w:pPr>
              <w:spacing w:line="290" w:lineRule="exact" w:after="20" w:before="20"/>
            </w:pPr>
            <w:r>
              <w:rPr>
                <w:rFonts w:ascii="Microsoft YaHei" w:hAnsi="Microsoft YaHei" w:eastAsia="Microsoft YaHei"/>
                <w:b w:val="0"/>
                <w:color w:val="000000"/>
                <w:sz w:val="21"/>
              </w:rPr>
              <w:t>组合业务部分失败、部分退款冲销、跨期账单差异、两店调拨异常</w:t>
            </w:r>
          </w:p>
        </w:tc>
        <w:tc>
          <w:tcPr>
            <w:tcW w:type="dxa" w:w="4018"/>
            <w:vAlign w:val="center"/>
            <w:shd w:fill="FFFFFF"/>
          </w:tcPr>
          <w:p>
            <w:pPr>
              <w:spacing w:line="290" w:lineRule="exact" w:after="20" w:before="20"/>
            </w:pPr>
            <w:r>
              <w:rPr>
                <w:rFonts w:ascii="Microsoft YaHei" w:hAnsi="Microsoft YaHei" w:eastAsia="Microsoft YaHei"/>
                <w:b w:val="0"/>
                <w:color w:val="000000"/>
                <w:sz w:val="21"/>
              </w:rPr>
              <w:t>处理单与审批、调整流水、最终状态和一致性核查结果</w:t>
            </w:r>
          </w:p>
        </w:tc>
      </w:tr>
    </w:tbl>
    <w:p>
      <w:pPr>
        <w:spacing w:after="0" w:before="0" w:line="80" w:lineRule="exact"/>
      </w:pPr>
      <w:r>
        <w:rPr>
          <w:sz w:val="6"/>
        </w:rPr>
      </w:r>
    </w:p>
    <w:p>
      <w:pPr>
        <w:pStyle w:val="Heading2"/>
      </w:pPr>
      <w:r>
        <w:t>10 2 最小充分验证</w:t>
      </w:r>
    </w:p>
    <w:p>
      <w:r>
        <w:rPr>
          <w:b w:val="0"/>
        </w:rPr>
        <w:t>每个新流程准备一个正常场景及其必要异常检查，优先测试受影响模块。库存、收付款、受理和结算的公共逻辑变更，补对应跨模块场景；验证失败再扩大范围，不重复执行无关回归。</w:t>
      </w:r>
    </w:p>
    <w:p>
      <w:r>
        <w:rPr>
          <w:b w:val="0"/>
        </w:rPr>
        <w:t>AI 效果按固定样本和版本比较，记录误报、漏报、人工修订、耗时及样本量。经营指标分别定义销售额、实收款、代收款、押金、预估与到账酬金、待结算提成，不能混合成单一收入指标。</w:t>
      </w:r>
    </w:p>
    <w:p>
      <w:pPr>
        <w:pStyle w:val="Heading2"/>
      </w:pPr>
      <w:r>
        <w:t>10 3 最终演示安排</w:t>
      </w:r>
    </w:p>
    <w:p>
      <w:r>
        <w:rPr>
          <w:b w:val="0"/>
        </w:rPr>
        <w:t>选取一名模拟客户，从取号与套餐咨询开始，办理宽带、购买路由器并预约安装；展示收款、设备出库、服务完成和评价，进入收益、提成与后台改进。再切换预置异常，演示部分失败、退款或对账差异的处理。</w:t>
      </w:r>
    </w:p>
    <w:p>
      <w:r>
        <w:rPr>
          <w:b w:val="0"/>
        </w:rPr>
        <w:t>演示入口提供正常、资料不足、外部超时和复杂异常情境，数据重置后可重复运行。实时模型与预置输出明确区分，所有效果数字对应实际测试或标明为模拟数据。</w:t>
      </w:r>
    </w:p>
    <w:p>
      <w:pPr>
        <w:pStyle w:val="Heading2"/>
      </w:pPr>
      <w:r>
        <w:t>10 4 交付物</w:t>
      </w:r>
    </w:p>
    <w:p>
      <w:pPr>
        <w:ind w:left="173" w:hanging="173"/>
      </w:pPr>
      <w:r>
        <w:rPr>
          <w:b w:val="0"/>
        </w:rPr>
        <w:t>•  三个阶段可追踪的版本、可运行代码、数据库结构及必要的数据升级说明。</w:t>
      </w:r>
    </w:p>
    <w:p>
      <w:pPr>
        <w:ind w:left="173" w:hanging="173"/>
      </w:pPr>
      <w:r>
        <w:rPr>
          <w:b w:val="0"/>
        </w:rPr>
        <w:t>•  演示数据、账号权限说明、启动与重置方法、备份恢复及环境配置说明。</w:t>
      </w:r>
    </w:p>
    <w:p>
      <w:pPr>
        <w:ind w:left="173" w:hanging="173"/>
      </w:pPr>
      <w:r>
        <w:rPr>
          <w:b w:val="0"/>
        </w:rPr>
        <w:t>•  功能范围、关键业务规则、状态流转、资料与提示词版本、Mock 场景说明。</w:t>
      </w:r>
    </w:p>
    <w:p>
      <w:pPr>
        <w:ind w:left="173" w:hanging="173"/>
      </w:pPr>
      <w:r>
        <w:rPr>
          <w:b w:val="0"/>
        </w:rPr>
        <w:t>•  验收场景、实际测试结果、问题及改进台账、操作指南和完整演示脚本。</w:t>
      </w:r>
    </w:p>
    <w:p>
      <w:r>
        <w:rPr>
          <w:b w:val="0"/>
        </w:rPr>
        <w:t>最终完成标准是本规划内的正常流程和代表性异常均能处理到明确结果，数据来源与变化可追溯，阶段交付与测试记录可复现。范围外能力进入后续需求清单，不作为本轮完成条件。</w:t>
      </w:r>
    </w:p>
    <w:p>
      <w:r>
        <w:rPr>
          <w:b w:val="0"/>
        </w:rPr>
        <w:t xml:space="preserve">规划依据  </w:t>
      </w:r>
      <w:hyperlink r:id="rId11">
        <w:r>
          <w:rPr>
            <w:color w:val="17365D"/>
          </w:rPr>
          <w:t>完善经营中台 Demo 对话中的项目需求与三阶段安排</w:t>
        </w:r>
      </w:hyperlink>
    </w:p>
    <w:sectPr w:rsidR="00FC693F" w:rsidRPr="0006063C" w:rsidSect="00034616">
      <w:headerReference w:type="default" r:id="rId9"/>
      <w:footerReference w:type="default" r:id="rId10"/>
      <w:pgSz w:w="12240" w:h="15840"/>
      <w:pgMar w:top="1051" w:right="1123" w:bottom="1008" w:left="1123"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Channel Store ERP    综合项目规划书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90"/>
      <w:snapToGrid w:val="0"/>
    </w:pPr>
    <w:rPr>
      <w:rFonts w:ascii="Microsoft YaHei" w:hAnsi="Microsoft YaHei" w:eastAsia="Microsoft YaHei" w:cs="Microsoft YaHe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20" w:lineRule="exact"/>
    </w:pPr>
    <w:rPr>
      <w:rFonts w:ascii="Microsoft YaHei" w:hAnsi="Microsoft YaHei" w:eastAsia="Microsoft YaHei" w:cs="Microsoft YaHei"/>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20" w:lineRule="exact"/>
    </w:pPr>
    <w:rPr>
      <w:rFonts w:ascii="Microsoft YaHei" w:hAnsi="Microsoft YaHei" w:eastAsia="Microsoft YaHei" w:cs="Microsoft YaHei"/>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440" w:lineRule="exact"/>
      <w:outlineLvl w:val="0"/>
      <w:snapToGrid w:val="0"/>
    </w:pPr>
    <w:rPr>
      <w:rFonts w:asciiTheme="majorHAnsi" w:eastAsiaTheme="majorEastAsia" w:hAnsiTheme="majorHAnsi" w:cstheme="majorBidi" w:ascii="Microsoft YaHei" w:hAnsi="Microsoft YaHei" w:eastAsia="Microsoft YaHei" w:cs="Microsoft YaHe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360" w:lineRule="exact"/>
      <w:outlineLvl w:val="1"/>
      <w:snapToGrid w:val="0"/>
    </w:pPr>
    <w:rPr>
      <w:rFonts w:asciiTheme="majorHAnsi" w:eastAsiaTheme="majorEastAsia" w:hAnsiTheme="majorHAnsi" w:cstheme="majorBidi" w:ascii="Microsoft YaHei" w:hAnsi="Microsoft YaHei" w:eastAsia="Microsoft YaHei" w:cs="Microsoft YaHei"/>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620" w:lineRule="exact"/>
      <w:contextualSpacing/>
      <w:snapToGrid w:val="0"/>
    </w:pPr>
    <w:rPr>
      <w:rFonts w:asciiTheme="majorHAnsi" w:eastAsiaTheme="majorEastAsia" w:hAnsiTheme="majorHAnsi" w:cstheme="majorBidi" w:ascii="Microsoft YaHei" w:hAnsi="Microsoft YaHei" w:eastAsia="Microsoft YaHei" w:cs="Microsoft YaHei"/>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20" w:lineRule="exact"/>
      <w:snapToGrid w:val="0"/>
    </w:pPr>
    <w:rPr>
      <w:rFonts w:asciiTheme="majorHAnsi" w:eastAsiaTheme="majorEastAsia" w:hAnsiTheme="majorHAnsi" w:cstheme="majorBidi" w:ascii="Microsoft YaHei" w:hAnsi="Microsoft YaHei" w:eastAsia="Microsoft YaHei" w:cs="Microsoft YaHe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chatgpt-conversation://6abfa48d-3524-83ec-9fd0-fb5cb93985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代理营业厅经营中台 Channel Store ERP 综合项目规划书</dc:title>
  <dc:subject/>
  <dc:creator>项目规划</dc:creator>
  <cp:keywords/>
  <dc:description>generated by python-docx</dc:description>
  <cp:lastModifiedBy>项目规划</cp:lastModifiedBy>
  <cp:revision>1</cp:revision>
  <dcterms:created xsi:type="dcterms:W3CDTF">2026-10-02T00:00:00Z</dcterms:created>
  <dcterms:modified xsi:type="dcterms:W3CDTF">2026-10-02T00:00:00Z</dcterms:modified>
  <cp:category/>
</cp:coreProperties>
</file>