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5278A3">
      <w:pPr>
        <w:spacing w:after="80" w:line="360" w:lineRule="exact"/>
      </w:pPr>
    </w:p>
    <w:p w14:paraId="78ED4ACD">
      <w:pPr>
        <w:spacing w:after="80" w:line="360" w:lineRule="exact"/>
      </w:pPr>
    </w:p>
    <w:p w14:paraId="5755501E">
      <w:pPr>
        <w:spacing w:after="120" w:line="360" w:lineRule="exact"/>
        <w:jc w:val="center"/>
      </w:pPr>
      <w:r>
        <w:rPr>
          <w:rFonts w:ascii="微软雅黑" w:hAnsi="微软雅黑" w:eastAsia="微软雅黑"/>
          <w:b/>
          <w:color w:val="1A2233"/>
          <w:sz w:val="56"/>
        </w:rPr>
        <w:t>研 究 笔 记</w:t>
      </w:r>
    </w:p>
    <w:p w14:paraId="2FB6FBEB">
      <w:pPr>
        <w:spacing w:after="40" w:line="360" w:lineRule="exact"/>
        <w:jc w:val="center"/>
      </w:pPr>
      <w:r>
        <w:rPr>
          <w:rFonts w:ascii="微软雅黑" w:hAnsi="微软雅黑" w:eastAsia="微软雅黑"/>
          <w:b/>
          <w:color w:val="1A2233"/>
          <w:sz w:val="40"/>
        </w:rPr>
        <w:t>大学生职业规划的多维影响因素</w:t>
      </w:r>
    </w:p>
    <w:p w14:paraId="544EDF41">
      <w:pPr>
        <w:spacing w:after="320" w:line="360" w:lineRule="exact"/>
        <w:jc w:val="center"/>
      </w:pPr>
      <w:r>
        <w:rPr>
          <w:rFonts w:ascii="微软雅黑" w:hAnsi="微软雅黑" w:eastAsia="微软雅黑"/>
          <w:b w:val="0"/>
          <w:color w:val="5C6680"/>
          <w:sz w:val="28"/>
        </w:rPr>
        <w:t>-- 文献综述 --</w:t>
      </w:r>
    </w:p>
    <w:p w14:paraId="34B69F05">
      <w:pPr>
        <w:spacing w:after="80" w:line="360" w:lineRule="exact"/>
        <w:jc w:val="center"/>
      </w:pPr>
      <w:r>
        <w:rPr>
          <w:rFonts w:ascii="微软雅黑" w:hAnsi="微软雅黑" w:eastAsia="微软雅黑"/>
          <w:b w:val="0"/>
          <w:color w:val="8E94A8"/>
          <w:sz w:val="24"/>
        </w:rPr>
        <w:t>支撑</w:t>
      </w:r>
      <w:r>
        <w:rPr>
          <w:rFonts w:hint="eastAsia"/>
          <w:b w:val="0"/>
          <w:color w:val="8E94A8"/>
          <w:sz w:val="24"/>
          <w:lang w:val="en-US" w:eastAsia="zh-CN"/>
        </w:rPr>
        <w:t>产品设计</w:t>
      </w:r>
      <w:r>
        <w:rPr>
          <w:rFonts w:ascii="微软雅黑" w:hAnsi="微软雅黑" w:eastAsia="微软雅黑"/>
          <w:b w:val="0"/>
          <w:color w:val="8E94A8"/>
          <w:sz w:val="24"/>
        </w:rPr>
        <w:t>的学术依据</w:t>
      </w:r>
    </w:p>
    <w:p w14:paraId="2AD2A879">
      <w:pPr>
        <w:spacing w:after="40" w:line="360" w:lineRule="exact"/>
        <w:jc w:val="center"/>
      </w:pPr>
      <w:r>
        <w:rPr>
          <w:rFonts w:hint="eastAsia"/>
          <w:b w:val="0"/>
          <w:color w:val="8E94A8"/>
          <w:sz w:val="22"/>
          <w:lang w:val="en-US" w:eastAsia="zh-CN"/>
        </w:rPr>
        <w:t>蝶飞梧桐</w:t>
      </w:r>
      <w:r>
        <w:rPr>
          <w:rFonts w:ascii="微软雅黑" w:hAnsi="微软雅黑" w:eastAsia="微软雅黑"/>
          <w:b w:val="0"/>
          <w:color w:val="8E94A8"/>
          <w:sz w:val="22"/>
        </w:rPr>
        <w:t xml:space="preserve"> | 2026年7月</w:t>
      </w:r>
      <w:bookmarkStart w:id="0" w:name="_GoBack"/>
      <w:bookmarkEnd w:id="0"/>
    </w:p>
    <w:p w14:paraId="26CBFEF6">
      <w:pPr>
        <w:spacing w:after="80" w:line="360" w:lineRule="exact"/>
        <w:jc w:val="center"/>
      </w:pPr>
      <w:r>
        <w:rPr>
          <w:rFonts w:ascii="微软雅黑" w:hAnsi="微软雅黑" w:eastAsia="微软雅黑"/>
          <w:b w:val="0"/>
          <w:color w:val="8E94A8"/>
          <w:sz w:val="20"/>
        </w:rPr>
        <w:t>融合SDT/CCT/SCCT/文化再生产理论 | 覆盖家庭、生理、心理、文化资本四维文献</w:t>
      </w:r>
    </w:p>
    <w:p w14:paraId="40295439">
      <w:r>
        <w:br w:type="page"/>
      </w:r>
    </w:p>
    <w:p w14:paraId="09CFAD06">
      <w:pPr>
        <w:pStyle w:val="3"/>
      </w:pPr>
      <w:r>
        <w:rPr>
          <w:rFonts w:ascii="微软雅黑" w:hAnsi="微软雅黑" w:eastAsia="微软雅黑"/>
        </w:rPr>
        <w:t>摘  要</w:t>
      </w:r>
    </w:p>
    <w:p w14:paraId="2DF6721D">
      <w:pPr>
        <w:spacing w:after="80" w:line="360" w:lineRule="exact"/>
      </w:pPr>
      <w:r>
        <w:rPr>
          <w:rFonts w:ascii="微软雅黑" w:hAnsi="微软雅黑" w:eastAsia="微软雅黑"/>
          <w:b w:val="0"/>
          <w:sz w:val="21"/>
        </w:rPr>
        <w:t>当前大学生职业规划市场存在一个根本性的视角错位：几乎所有测评工具默认学生以"自我实现"为单一目标，忽略了现实中职业目的的高度分化 -- 有人以经济独立为首要诉求，有人追求工作生活平衡，有人想摆脱原生家庭。与此同时，现有产品普遍存在三个结构性盲区：脱离现实约束（忽略家庭经济、父母职业资源等客观条件）、忽视身心健康状态（从未将身体机能、精力阈值、抗压能力纳入职业匹配模型）、缺乏"前人案例的反向参照"（没有利用真实数据做相似人群的路径回溯，帮学生排除错误选项）。</w:t>
      </w:r>
    </w:p>
    <w:p w14:paraId="1B25E23F">
      <w:pPr>
        <w:spacing w:after="80" w:line="360" w:lineRule="exact"/>
      </w:pPr>
      <w:r>
        <w:rPr>
          <w:rFonts w:ascii="微软雅黑" w:hAnsi="微软雅黑" w:eastAsia="微软雅黑"/>
          <w:b w:val="0"/>
          <w:sz w:val="21"/>
        </w:rPr>
        <w:t>本综述围绕自研产品"AI驱动的大学生全周期成长规划引擎"的四个核心设计决策，系统梳理了身心健康对职业决策的影响、家庭因素的多维分层作用、自主目标设定的必要性以及"小镇做题家"的结构性困境四个主题的学术文献。理论基础整合了自我决定理论（SDT）[1]、生涯建构理论（CCT）[2]和社会认知职业理论（SCCT）[3]三大框架，综合运用家庭资本理论、文化再生产理论和职业决策自我效能感（CDMSE）研究，共引用55篇中英文文献，逐一标注了交叉引用并提炼了直接可落地的产品设计启示。</w:t>
      </w:r>
    </w:p>
    <w:p w14:paraId="47933A59">
      <w:pPr>
        <w:spacing w:after="80" w:line="360" w:lineRule="exact"/>
      </w:pPr>
      <w:r>
        <w:rPr>
          <w:rFonts w:ascii="微软雅黑" w:hAnsi="微软雅黑" w:eastAsia="微软雅黑"/>
          <w:b w:val="0"/>
          <w:sz w:val="21"/>
        </w:rPr>
        <w:t>核心结论包括：(1) 自主性需求是行为持续性的前提 -- SDT证明自我决定水平与生涯决策能力显著正相关（r=0.685），自主性满足预测决策质量 -- 这为"目的先行"设计提供了直接的定量依据；(2) 慢性应激通过损害决策质量间接影响职业路径选择的合理性，可穿戴HRV监测已具备学术可行性但尚未被纳入职业规划辅助 -- 这构成了"可穿戴+应激归因+赛道风险预警"的创新空间；(3) 家庭因素的影响是多维且动态的 -- 经济资本、文化资本和社会资本独立作用，且父母期望通过激发子女主动探索行为而非直接指令来生效 -- 这为"家庭约束多维建模"和"自主防火墙机制"提供了设计依据；(4) "小镇做题家"的困境根源于"直觉依赖模式" -- 来自弱势家庭的学生在外部指令撤除后缺乏自主决策的内部系统 -- 这为"前人案例参照引擎"提供了理论支撑。</w:t>
      </w:r>
    </w:p>
    <w:p w14:paraId="3E123BFC">
      <w:pPr>
        <w:spacing w:after="320" w:line="360" w:lineRule="exact"/>
      </w:pPr>
      <w:r>
        <w:rPr>
          <w:rFonts w:ascii="微软雅黑" w:hAnsi="微软雅黑" w:eastAsia="微软雅黑"/>
          <w:b/>
          <w:sz w:val="21"/>
        </w:rPr>
        <w:t>关键词：大学生职业规划；身心健康；家庭资本；自主性；小镇做题家；可穿戴设备；生涯适应力</w:t>
      </w:r>
    </w:p>
    <w:p w14:paraId="4A61667A">
      <w:r>
        <w:br w:type="page"/>
      </w:r>
    </w:p>
    <w:p w14:paraId="49F8BAF9">
      <w:pPr>
        <w:pStyle w:val="3"/>
      </w:pPr>
      <w:r>
        <w:rPr>
          <w:rFonts w:ascii="微软雅黑" w:hAnsi="微软雅黑" w:eastAsia="微软雅黑"/>
        </w:rPr>
        <w:t>目  录</w:t>
      </w:r>
    </w:p>
    <w:p w14:paraId="16EA831D">
      <w:pPr>
        <w:spacing w:after="40" w:line="360" w:lineRule="exact"/>
        <w:ind w:left="283"/>
      </w:pPr>
      <w:r>
        <w:rPr>
          <w:rFonts w:ascii="微软雅黑" w:hAnsi="微软雅黑" w:eastAsia="微软雅黑"/>
          <w:b w:val="0"/>
          <w:color w:val="1A2233"/>
          <w:sz w:val="22"/>
        </w:rPr>
        <w:t>摘要</w:t>
      </w:r>
    </w:p>
    <w:p w14:paraId="20B9BCB6">
      <w:pPr>
        <w:spacing w:after="40" w:line="360" w:lineRule="exact"/>
        <w:ind w:left="283"/>
      </w:pPr>
      <w:r>
        <w:rPr>
          <w:rFonts w:ascii="微软雅黑" w:hAnsi="微软雅黑" w:eastAsia="微软雅黑"/>
          <w:b w:val="0"/>
          <w:color w:val="1A2233"/>
          <w:sz w:val="22"/>
        </w:rPr>
        <w:t>一、引言：研究缘起与产品设计问题</w:t>
      </w:r>
    </w:p>
    <w:p w14:paraId="5E263E9F">
      <w:pPr>
        <w:spacing w:after="40" w:line="360" w:lineRule="exact"/>
        <w:ind w:left="283"/>
      </w:pPr>
      <w:r>
        <w:rPr>
          <w:rFonts w:ascii="微软雅黑" w:hAnsi="微软雅黑" w:eastAsia="微软雅黑"/>
          <w:b w:val="0"/>
          <w:color w:val="1A2233"/>
          <w:sz w:val="22"/>
        </w:rPr>
        <w:t>二、理论基础：三大职业心理理论的整合框架</w:t>
      </w:r>
    </w:p>
    <w:p w14:paraId="7D8B5198">
      <w:pPr>
        <w:spacing w:after="40" w:line="360" w:lineRule="exact"/>
        <w:ind w:left="283"/>
      </w:pPr>
      <w:r>
        <w:rPr>
          <w:rFonts w:ascii="微软雅黑" w:hAnsi="微软雅黑" w:eastAsia="微软雅黑"/>
          <w:b w:val="0"/>
          <w:color w:val="1A2233"/>
          <w:sz w:val="22"/>
        </w:rPr>
        <w:t xml:space="preserve">    2.1 自我决定理论（SDT）</w:t>
      </w:r>
    </w:p>
    <w:p w14:paraId="6BD78A80">
      <w:pPr>
        <w:spacing w:after="40" w:line="360" w:lineRule="exact"/>
        <w:ind w:left="283"/>
      </w:pPr>
      <w:r>
        <w:rPr>
          <w:rFonts w:ascii="微软雅黑" w:hAnsi="微软雅黑" w:eastAsia="微软雅黑"/>
          <w:b w:val="0"/>
          <w:color w:val="1A2233"/>
          <w:sz w:val="22"/>
        </w:rPr>
        <w:t xml:space="preserve">    2.2 生涯建构理论（CCT）</w:t>
      </w:r>
    </w:p>
    <w:p w14:paraId="2967ACAF">
      <w:pPr>
        <w:spacing w:after="40" w:line="360" w:lineRule="exact"/>
        <w:ind w:left="283"/>
      </w:pPr>
      <w:r>
        <w:rPr>
          <w:rFonts w:ascii="微软雅黑" w:hAnsi="微软雅黑" w:eastAsia="微软雅黑"/>
          <w:b w:val="0"/>
          <w:color w:val="1A2233"/>
          <w:sz w:val="22"/>
        </w:rPr>
        <w:t xml:space="preserve">    2.3 社会认知职业理论（SCCT）</w:t>
      </w:r>
    </w:p>
    <w:p w14:paraId="26C03149">
      <w:pPr>
        <w:spacing w:after="40" w:line="360" w:lineRule="exact"/>
        <w:ind w:left="283"/>
      </w:pPr>
      <w:r>
        <w:rPr>
          <w:rFonts w:ascii="微软雅黑" w:hAnsi="微软雅黑" w:eastAsia="微软雅黑"/>
          <w:b w:val="0"/>
          <w:color w:val="1A2233"/>
          <w:sz w:val="22"/>
        </w:rPr>
        <w:t>三、主题一：身心健康对职业发展的双向影响</w:t>
      </w:r>
    </w:p>
    <w:p w14:paraId="504D4AE3">
      <w:pPr>
        <w:spacing w:after="40" w:line="360" w:lineRule="exact"/>
        <w:ind w:left="283"/>
      </w:pPr>
      <w:r>
        <w:rPr>
          <w:rFonts w:ascii="微软雅黑" w:hAnsi="微软雅黑" w:eastAsia="微软雅黑"/>
          <w:b w:val="0"/>
          <w:color w:val="1A2233"/>
          <w:sz w:val="22"/>
        </w:rPr>
        <w:t xml:space="preserve">    3.1 心理健康与职业决策：互为因果的双向路径</w:t>
      </w:r>
    </w:p>
    <w:p w14:paraId="556E9F39">
      <w:pPr>
        <w:spacing w:after="40" w:line="360" w:lineRule="exact"/>
        <w:ind w:left="283"/>
      </w:pPr>
      <w:r>
        <w:rPr>
          <w:rFonts w:ascii="微软雅黑" w:hAnsi="微软雅黑" w:eastAsia="微软雅黑"/>
          <w:b w:val="0"/>
          <w:color w:val="1A2233"/>
          <w:sz w:val="22"/>
        </w:rPr>
        <w:t xml:space="preserve">    3.2 生理特质与岗位适配：被忽略的硬件约束</w:t>
      </w:r>
    </w:p>
    <w:p w14:paraId="35D34551">
      <w:pPr>
        <w:spacing w:after="40" w:line="360" w:lineRule="exact"/>
        <w:ind w:left="283"/>
      </w:pPr>
      <w:r>
        <w:rPr>
          <w:rFonts w:ascii="微软雅黑" w:hAnsi="微软雅黑" w:eastAsia="微软雅黑"/>
          <w:b w:val="0"/>
          <w:color w:val="1A2233"/>
          <w:sz w:val="22"/>
        </w:rPr>
        <w:t xml:space="preserve">    3.3 可穿戴生理监测的技术可行性</w:t>
      </w:r>
    </w:p>
    <w:p w14:paraId="10F7C669">
      <w:pPr>
        <w:spacing w:after="40" w:line="360" w:lineRule="exact"/>
        <w:ind w:left="283"/>
      </w:pPr>
      <w:r>
        <w:rPr>
          <w:rFonts w:ascii="微软雅黑" w:hAnsi="微软雅黑" w:eastAsia="微软雅黑"/>
          <w:b w:val="0"/>
          <w:color w:val="1A2233"/>
          <w:sz w:val="22"/>
        </w:rPr>
        <w:t>四、主题二：家庭因素的多维分层影响</w:t>
      </w:r>
    </w:p>
    <w:p w14:paraId="4C70628F">
      <w:pPr>
        <w:spacing w:after="40" w:line="360" w:lineRule="exact"/>
        <w:ind w:left="283"/>
      </w:pPr>
      <w:r>
        <w:rPr>
          <w:rFonts w:ascii="微软雅黑" w:hAnsi="微软雅黑" w:eastAsia="微软雅黑"/>
          <w:b w:val="0"/>
          <w:color w:val="1A2233"/>
          <w:sz w:val="22"/>
        </w:rPr>
        <w:t xml:space="preserve">    4.1 家庭社会经济地位与代际传递</w:t>
      </w:r>
    </w:p>
    <w:p w14:paraId="0348F6DC">
      <w:pPr>
        <w:spacing w:after="40" w:line="360" w:lineRule="exact"/>
        <w:ind w:left="283"/>
      </w:pPr>
      <w:r>
        <w:rPr>
          <w:rFonts w:ascii="微软雅黑" w:hAnsi="微软雅黑" w:eastAsia="微软雅黑"/>
          <w:b w:val="0"/>
          <w:color w:val="1A2233"/>
          <w:sz w:val="22"/>
        </w:rPr>
        <w:t xml:space="preserve">    4.2 家庭资本的三维结构</w:t>
      </w:r>
    </w:p>
    <w:p w14:paraId="55A3691B">
      <w:pPr>
        <w:spacing w:after="40" w:line="360" w:lineRule="exact"/>
        <w:ind w:left="283"/>
      </w:pPr>
      <w:r>
        <w:rPr>
          <w:rFonts w:ascii="微软雅黑" w:hAnsi="微软雅黑" w:eastAsia="微软雅黑"/>
          <w:b w:val="0"/>
          <w:color w:val="1A2233"/>
          <w:sz w:val="22"/>
        </w:rPr>
        <w:t xml:space="preserve">    4.3 家庭功能的动态过程</w:t>
      </w:r>
    </w:p>
    <w:p w14:paraId="5944F72C">
      <w:pPr>
        <w:spacing w:after="40" w:line="360" w:lineRule="exact"/>
        <w:ind w:left="283"/>
      </w:pPr>
      <w:r>
        <w:rPr>
          <w:rFonts w:ascii="微软雅黑" w:hAnsi="微软雅黑" w:eastAsia="微软雅黑"/>
          <w:b w:val="0"/>
          <w:color w:val="1A2233"/>
          <w:sz w:val="22"/>
        </w:rPr>
        <w:t xml:space="preserve">    4.4 父母期望的复杂效应</w:t>
      </w:r>
    </w:p>
    <w:p w14:paraId="78B4E1A1">
      <w:pPr>
        <w:spacing w:after="40" w:line="360" w:lineRule="exact"/>
        <w:ind w:left="283"/>
      </w:pPr>
      <w:r>
        <w:rPr>
          <w:rFonts w:ascii="微软雅黑" w:hAnsi="微软雅黑" w:eastAsia="微软雅黑"/>
          <w:b w:val="0"/>
          <w:color w:val="1A2233"/>
          <w:sz w:val="22"/>
        </w:rPr>
        <w:t>五、主题三：自主目标设定的理论与实证依据</w:t>
      </w:r>
    </w:p>
    <w:p w14:paraId="03C51348">
      <w:pPr>
        <w:spacing w:after="40" w:line="360" w:lineRule="exact"/>
        <w:ind w:left="283"/>
      </w:pPr>
      <w:r>
        <w:rPr>
          <w:rFonts w:ascii="微软雅黑" w:hAnsi="微软雅黑" w:eastAsia="微软雅黑"/>
          <w:b w:val="0"/>
          <w:color w:val="1A2233"/>
          <w:sz w:val="22"/>
        </w:rPr>
        <w:t xml:space="preserve">    5.1 职业决策自我效能感的核心地位</w:t>
      </w:r>
    </w:p>
    <w:p w14:paraId="18E23A53">
      <w:pPr>
        <w:spacing w:after="40" w:line="360" w:lineRule="exact"/>
        <w:ind w:left="283"/>
      </w:pPr>
      <w:r>
        <w:rPr>
          <w:rFonts w:ascii="微软雅黑" w:hAnsi="微软雅黑" w:eastAsia="微软雅黑"/>
          <w:b w:val="0"/>
          <w:color w:val="1A2233"/>
          <w:sz w:val="22"/>
        </w:rPr>
        <w:t xml:space="preserve">    5.2 从《金榜题名之后》到"小镇做题家"</w:t>
      </w:r>
    </w:p>
    <w:p w14:paraId="117A81DF">
      <w:pPr>
        <w:spacing w:after="40" w:line="360" w:lineRule="exact"/>
        <w:ind w:left="283"/>
      </w:pPr>
      <w:r>
        <w:rPr>
          <w:rFonts w:ascii="微软雅黑" w:hAnsi="微软雅黑" w:eastAsia="微软雅黑"/>
          <w:b w:val="0"/>
          <w:color w:val="1A2233"/>
          <w:sz w:val="22"/>
        </w:rPr>
        <w:t xml:space="preserve">    5.3 目标先行的规划逻辑</w:t>
      </w:r>
    </w:p>
    <w:p w14:paraId="6FD2A52A">
      <w:pPr>
        <w:spacing w:after="40" w:line="360" w:lineRule="exact"/>
        <w:ind w:left="283"/>
      </w:pPr>
      <w:r>
        <w:rPr>
          <w:rFonts w:ascii="微软雅黑" w:hAnsi="微软雅黑" w:eastAsia="微软雅黑"/>
          <w:b w:val="0"/>
          <w:color w:val="1A2233"/>
          <w:sz w:val="22"/>
        </w:rPr>
        <w:t>六、主题四：综合因素交互与产品设计路径</w:t>
      </w:r>
    </w:p>
    <w:p w14:paraId="70F132E7">
      <w:pPr>
        <w:spacing w:after="40" w:line="360" w:lineRule="exact"/>
        <w:ind w:left="283"/>
      </w:pPr>
      <w:r>
        <w:rPr>
          <w:rFonts w:ascii="微软雅黑" w:hAnsi="微软雅黑" w:eastAsia="微软雅黑"/>
          <w:b w:val="0"/>
          <w:color w:val="1A2233"/>
          <w:sz w:val="22"/>
        </w:rPr>
        <w:t xml:space="preserve">    6.1 多维因素的交互网络</w:t>
      </w:r>
    </w:p>
    <w:p w14:paraId="33831EE3">
      <w:pPr>
        <w:spacing w:after="40" w:line="360" w:lineRule="exact"/>
        <w:ind w:left="283"/>
      </w:pPr>
      <w:r>
        <w:rPr>
          <w:rFonts w:ascii="微软雅黑" w:hAnsi="微软雅黑" w:eastAsia="微软雅黑"/>
          <w:b w:val="0"/>
          <w:color w:val="1A2233"/>
          <w:sz w:val="22"/>
        </w:rPr>
        <w:t xml:space="preserve">    6.2 产品设计的六大原则</w:t>
      </w:r>
    </w:p>
    <w:p w14:paraId="6FA91125">
      <w:pPr>
        <w:spacing w:after="40" w:line="360" w:lineRule="exact"/>
        <w:ind w:left="283"/>
      </w:pPr>
      <w:r>
        <w:rPr>
          <w:rFonts w:ascii="微软雅黑" w:hAnsi="微软雅黑" w:eastAsia="微软雅黑"/>
          <w:b w:val="0"/>
          <w:color w:val="1A2233"/>
          <w:sz w:val="22"/>
        </w:rPr>
        <w:t>七、研究结论与产品设计启示</w:t>
      </w:r>
    </w:p>
    <w:p w14:paraId="14508FDE">
      <w:pPr>
        <w:spacing w:after="40" w:line="360" w:lineRule="exact"/>
        <w:ind w:left="283"/>
      </w:pPr>
      <w:r>
        <w:rPr>
          <w:rFonts w:ascii="微软雅黑" w:hAnsi="微软雅黑" w:eastAsia="微软雅黑"/>
          <w:b w:val="0"/>
          <w:color w:val="1A2233"/>
          <w:sz w:val="22"/>
        </w:rPr>
        <w:t>八、参考文献清单</w:t>
      </w:r>
    </w:p>
    <w:p w14:paraId="1D7C40D5">
      <w:r>
        <w:br w:type="page"/>
      </w:r>
    </w:p>
    <w:p w14:paraId="5540848E">
      <w:pPr>
        <w:pStyle w:val="3"/>
      </w:pPr>
      <w:r>
        <w:rPr>
          <w:rFonts w:ascii="微软雅黑" w:hAnsi="微软雅黑" w:eastAsia="微软雅黑"/>
        </w:rPr>
        <w:t>一、引言：研究缘起与产品设计问题</w:t>
      </w:r>
    </w:p>
    <w:p w14:paraId="5A8C1ECF">
      <w:pPr>
        <w:spacing w:after="80" w:line="360" w:lineRule="exact"/>
      </w:pPr>
      <w:r>
        <w:rPr>
          <w:rFonts w:ascii="微软雅黑" w:hAnsi="微软雅黑" w:eastAsia="微软雅黑"/>
          <w:b w:val="0"/>
          <w:sz w:val="21"/>
        </w:rPr>
        <w:t>在大学生职业规划产品的设计过程中，一个日益清晰的认知是：用户的职业发展路径并非仅由个人能力和意愿决定，而是受到多重结构性因素 -- 包括家庭背景、身心健康状况、个人心理资源以及社会文化环境 -- 的深刻塑造。市面上主流职业规划工具普遍存在三大缺陷：仅提供职业测评、岗位检索等表层工具；忽略用户身心健康、原生家庭、成长文化资本等深层约束条件；缺乏"先自主确立职业目标、再拆解阶段规划"的标准化引导流程，服务同质化严重，无法适配不同出身、不同动机的大学生群体的真实需求。</w:t>
      </w:r>
    </w:p>
    <w:p w14:paraId="06487ACA">
      <w:pPr>
        <w:spacing w:after="80" w:line="360" w:lineRule="exact"/>
      </w:pPr>
      <w:r>
        <w:rPr>
          <w:rFonts w:ascii="微软雅黑" w:hAnsi="微软雅黑" w:eastAsia="微软雅黑"/>
          <w:b w:val="0"/>
          <w:sz w:val="21"/>
        </w:rPr>
        <w:t>自研产品"AI驱动的大学生全周期成长规划引擎"正是基于以上分析，提出了一套区别于传统测评工具的差异化设计：在起点强制用户明确"规划目的"（自我实现/经济独立/摆脱原生家庭/体验多元人生），整合生理数据、家庭约束、行为日志与价值观排序构建六维学情画像，并通过"客观约束筛查 - 前人案例匹配 - 阶段任务生成"三层推演实现路径可落地。本综述的目的是为上述每一个设计决策找到其对应的学术依据。</w:t>
      </w:r>
    </w:p>
    <w:p w14:paraId="4178902F">
      <w:pPr>
        <w:spacing w:after="80" w:line="360" w:lineRule="exact"/>
      </w:pPr>
      <w:r>
        <w:rPr>
          <w:rFonts w:ascii="微软雅黑" w:hAnsi="微软雅黑" w:eastAsia="微软雅黑"/>
          <w:b w:val="0"/>
          <w:sz w:val="21"/>
        </w:rPr>
        <w:t>本笔记围绕四个核心主题 -- 身心健康、家庭因素、自主目标设定的必要性、"小镇做题家"的结构性困境 -- 展开文献梳理，理论基础整合了自我决定理论（SDT）[1]、生涯建构理论（CCT）[2]和社会认知职业理论（SCCT）[3]三大框架，每一部分末尾提炼直接可落地的产品设计论据。</w:t>
      </w:r>
    </w:p>
    <w:p w14:paraId="7151B61B">
      <w:pPr>
        <w:pStyle w:val="3"/>
      </w:pPr>
      <w:r>
        <w:rPr>
          <w:rFonts w:ascii="微软雅黑" w:hAnsi="微软雅黑" w:eastAsia="微软雅黑"/>
        </w:rPr>
        <w:t>二、理论基础：三大职业心理理论的整合框架</w:t>
      </w:r>
    </w:p>
    <w:p w14:paraId="253AB885">
      <w:pPr>
        <w:pStyle w:val="4"/>
      </w:pPr>
      <w:r>
        <w:rPr>
          <w:rFonts w:ascii="微软雅黑" w:hAnsi="微软雅黑" w:eastAsia="微软雅黑"/>
        </w:rPr>
        <w:t>2.1 自我决定理论（SDT）</w:t>
      </w:r>
    </w:p>
    <w:p w14:paraId="31786101">
      <w:pPr>
        <w:spacing w:after="80" w:line="360" w:lineRule="exact"/>
      </w:pPr>
      <w:r>
        <w:rPr>
          <w:rFonts w:ascii="微软雅黑" w:hAnsi="微软雅黑" w:eastAsia="微软雅黑"/>
          <w:b w:val="0"/>
          <w:sz w:val="21"/>
        </w:rPr>
        <w:t>Ryan和Deci（2000, 2017）提出的自我决定理论（SDT）认为，当个体的三种基本心理需求 -- 自主性（autonomy）、胜任感（competence）和关系感（relatedness） -- 得到满足时，将表现出更高的内在动机和更优的心理健康[1]。对职业规划产品而言，SDT最核心的启示在于：自主性需求是行为持续性的前提。如果学生觉得"这个规划是别人替我选的"，即使推荐结果客观上最优，执行动力也将大打折扣。</w:t>
      </w:r>
    </w:p>
    <w:p w14:paraId="62F544A7">
      <w:pPr>
        <w:spacing w:after="80" w:line="360" w:lineRule="exact"/>
      </w:pPr>
      <w:r>
        <w:rPr>
          <w:rFonts w:ascii="微软雅黑" w:hAnsi="微软雅黑" w:eastAsia="微软雅黑"/>
          <w:b w:val="0"/>
          <w:sz w:val="21"/>
        </w:rPr>
        <w:t>Cahyasari（2024）对200名毕业班大学生的定量研究发现，自我决定水平与生涯决策能力之间存在显著正相关（r=0.685, p&lt;0.001）[4]。Lu等（2024）基于1246名中国大学生的三阶段追踪设计进一步发现，未来工作自我显著性（future work self-salience） -- 即对自己未来职业形象有多清晰的想象 -- 正向调节教师支持对职业探索的促进作用[5]。这意味着学生在行动前需要先有能力想象"自己想成为谁"，单纯的"老师让你干什么"无法替代这一认知建构过程。</w:t>
      </w:r>
    </w:p>
    <w:p w14:paraId="41251948">
      <w:pPr>
        <w:pStyle w:val="4"/>
      </w:pPr>
      <w:r>
        <w:rPr>
          <w:rFonts w:ascii="微软雅黑" w:hAnsi="微软雅黑" w:eastAsia="微软雅黑"/>
        </w:rPr>
        <w:t>2.2 生涯建构理论（CCT）</w:t>
      </w:r>
    </w:p>
    <w:p w14:paraId="0AD5F1E9">
      <w:pPr>
        <w:spacing w:after="80" w:line="360" w:lineRule="exact"/>
      </w:pPr>
      <w:r>
        <w:rPr>
          <w:rFonts w:ascii="微软雅黑" w:hAnsi="微软雅黑" w:eastAsia="微软雅黑"/>
          <w:b w:val="0"/>
          <w:sz w:val="21"/>
        </w:rPr>
        <w:t>Savickas（2002, 2005, 2012）提出的生涯建构理论（CCT）是当代职业心理学的重要范式转型，强调在全球化与职业边界消融的后现代语境下，传统的"人-职匹配"范式已不足以解释个体的职业生涯发展[2]。CCT提出生涯适应力（career adaptability）作为核心概念，包含关注（concern）、控制（control）、好奇（curiosity）和自信（confidence）四个维度[6]。</w:t>
      </w:r>
    </w:p>
    <w:p w14:paraId="20062B19">
      <w:pPr>
        <w:spacing w:after="80" w:line="360" w:lineRule="exact"/>
      </w:pPr>
      <w:r>
        <w:rPr>
          <w:rFonts w:ascii="微软雅黑" w:hAnsi="微软雅黑" w:eastAsia="微软雅黑"/>
          <w:b w:val="0"/>
          <w:sz w:val="21"/>
        </w:rPr>
        <w:t>Predictors of Career Adaptability among Chinese Higher Education Students的系统综述（2025）确认，主动性人格、职业决策自我效能感和社会支持是生涯适应力的三个稳定预测因子[7]。Gao等（2025）进一步证实生涯适应力通过职业未来时间视角的中介作用影响毕业生心理健康，提示"能看见自己的未来路径"本身就是一种保护性心理资源[8]。</w:t>
      </w:r>
    </w:p>
    <w:p w14:paraId="2F328A1C">
      <w:pPr>
        <w:pStyle w:val="4"/>
      </w:pPr>
      <w:r>
        <w:rPr>
          <w:rFonts w:ascii="微软雅黑" w:hAnsi="微软雅黑" w:eastAsia="微软雅黑"/>
        </w:rPr>
        <w:t>2.3 社会认知职业理论（SCCT）</w:t>
      </w:r>
    </w:p>
    <w:p w14:paraId="621FE9AB">
      <w:pPr>
        <w:spacing w:after="80" w:line="360" w:lineRule="exact"/>
      </w:pPr>
      <w:r>
        <w:rPr>
          <w:rFonts w:ascii="微软雅黑" w:hAnsi="微软雅黑" w:eastAsia="微软雅黑"/>
          <w:b w:val="0"/>
          <w:sz w:val="21"/>
        </w:rPr>
        <w:t>Lent, Brown和Hackett（1994）提出的社会认知职业理论（SCCT）强调个人职业选择在环境、个人与行为三者交互作用中形成[3]。其核心认知变量 -- 自我效能、结果期待和职业目标 -- 为理解"为什么同样的测评报告对不同学生产生不同的行动效果"提供了分析框架：只有当学生既相信自己能做到（高自我效能）、又相信做到后有好的结果（积极结果期待），测评信息才会转化为实际的职业探索行为。</w:t>
      </w:r>
    </w:p>
    <w:p w14:paraId="175E4333">
      <w:pPr>
        <w:spacing w:after="80" w:line="360" w:lineRule="exact"/>
      </w:pPr>
      <w:r>
        <w:rPr>
          <w:rFonts w:ascii="微软雅黑" w:hAnsi="微软雅黑" w:eastAsia="微软雅黑"/>
          <w:b w:val="0"/>
          <w:sz w:val="21"/>
        </w:rPr>
        <w:t>基于SCCT的实证研究发现，毕业生的求职行为受到职业目标和求职清晰度的显著影响[9]。大学生的职业期望对求职行为有明确的引导作用 -- 即"想清楚自己要什么"是"开始行动"的前提[10]。这一框架直接支撑了产品设计中"先确定目的、再开始规划"的流程逻辑。</w:t>
      </w:r>
    </w:p>
    <w:p w14:paraId="0B624F49">
      <w:pPr>
        <w:pStyle w:val="3"/>
      </w:pPr>
      <w:r>
        <w:rPr>
          <w:rFonts w:ascii="微软雅黑" w:hAnsi="微软雅黑" w:eastAsia="微软雅黑"/>
        </w:rPr>
        <w:t>三、主题一：身心健康对职业发展的双向影响</w:t>
      </w:r>
    </w:p>
    <w:p w14:paraId="02C74EFE">
      <w:pPr>
        <w:pStyle w:val="4"/>
      </w:pPr>
      <w:r>
        <w:rPr>
          <w:rFonts w:ascii="微软雅黑" w:hAnsi="微软雅黑" w:eastAsia="微软雅黑"/>
        </w:rPr>
        <w:t>3.1 心理健康与职业决策：互为因果的双向路径</w:t>
      </w:r>
    </w:p>
    <w:p w14:paraId="5124CF68">
      <w:pPr>
        <w:spacing w:after="80" w:line="360" w:lineRule="exact"/>
      </w:pPr>
      <w:r>
        <w:rPr>
          <w:rFonts w:ascii="微软雅黑" w:hAnsi="微软雅黑" w:eastAsia="微软雅黑"/>
          <w:b w:val="0"/>
          <w:sz w:val="21"/>
        </w:rPr>
        <w:t>心理健康状况与职业决策之间不是单向的"因-果"关系，而是双向的互为因果循环。一方面，针对812名高职学生的研究表明，职业决策自我效能感越高，心理健康水平越好[11]；另一方面，大学生自尊对职业决策困难的影响是通过抑郁和职业决策自我效能感的链式中介效应实现的 -- 低自尊-抑郁-低自我效能-决策困难[12]。这意味着心理健康不仅是职业发展的"结果变量"，更是影响决策质量的"前因变量"。</w:t>
      </w:r>
    </w:p>
    <w:p w14:paraId="3B2F5579">
      <w:pPr>
        <w:spacing w:after="80" w:line="360" w:lineRule="exact"/>
      </w:pPr>
      <w:r>
        <w:rPr>
          <w:rFonts w:ascii="微软雅黑" w:hAnsi="微软雅黑" w:eastAsia="微软雅黑"/>
          <w:b w:val="0"/>
          <w:sz w:val="21"/>
        </w:rPr>
        <w:t>全球调研数据显示，超过40%的国内大学生存在求职焦虑、选择困难等心理问题。焦虑会形成"焦虑-行动瘫痪"闭环：心理压力过高时，学生回避行业探索、简历投递和实习尝试，陷入"越迷茫越不行动、越不行动越焦虑"的恶性循环，直接降低就业准备质量[13]。研究还证实，积极心理品质（韧性、乐观、希望）与可就业能力之间存在显著正相关，可以部分抵消家庭劣势的负面影响[14]。</w:t>
      </w:r>
    </w:p>
    <w:p w14:paraId="56288760">
      <w:pPr>
        <w:pStyle w:val="4"/>
      </w:pPr>
      <w:r>
        <w:rPr>
          <w:rFonts w:ascii="微软雅黑" w:hAnsi="微软雅黑" w:eastAsia="微软雅黑"/>
        </w:rPr>
        <w:t>3.2 生理特质与岗位适配：被忽略的硬件约束</w:t>
      </w:r>
    </w:p>
    <w:p w14:paraId="3A40D6D2">
      <w:pPr>
        <w:spacing w:after="80" w:line="360" w:lineRule="exact"/>
      </w:pPr>
      <w:r>
        <w:rPr>
          <w:rFonts w:ascii="微软雅黑" w:hAnsi="微软雅黑" w:eastAsia="微软雅黑"/>
          <w:b w:val="0"/>
          <w:sz w:val="21"/>
        </w:rPr>
        <w:t>生理禀赋和长期身体健康水平决定个体的职业耐受度与岗位适配边界，但这一维度在现有职业规划工具中几乎被完全忽略[15]。先天感知、体能和情绪生理基础塑造了职业兴趣的底层 -- 擅长精细操作、人际共情和逻辑推演的生理特质对应完全不同的赛道，单一的兴趣测评无法区分这些生理天赋差异。</w:t>
      </w:r>
    </w:p>
    <w:p w14:paraId="281C80DA">
      <w:pPr>
        <w:spacing w:after="80" w:line="360" w:lineRule="exact"/>
      </w:pPr>
      <w:r>
        <w:rPr>
          <w:rFonts w:ascii="微软雅黑" w:hAnsi="微软雅黑" w:eastAsia="微软雅黑"/>
          <w:b w:val="0"/>
          <w:sz w:val="21"/>
        </w:rPr>
        <w:t>长期睡眠不足、内分泌失调和慢性疲劳等生理问题会削弱持续学习、加班抗压和高频社交能力，使个体难以适配高强度岗位（如互联网、销售、咨询），导致规划方案脱离身体现实条件。Benitez-Agudelo等（2025）的纵向研究直接提供了"高分+高压"悖论的生理证据：在一个学期内，学生的睡眠时长、睡眠质量和心率变异（HRV）均显著下降，焦虑和抑郁症状上升，但学业成绩却在提升 -- "更好的成绩可能以长期身心健康为代价"[16]。</w:t>
      </w:r>
    </w:p>
    <w:p w14:paraId="5C8F30E8">
      <w:pPr>
        <w:pStyle w:val="4"/>
      </w:pPr>
      <w:r>
        <w:rPr>
          <w:rFonts w:ascii="微软雅黑" w:hAnsi="微软雅黑" w:eastAsia="微软雅黑"/>
        </w:rPr>
        <w:t>3.3 可穿戴生理监测的技术可行性</w:t>
      </w:r>
    </w:p>
    <w:p w14:paraId="09AFC033">
      <w:pPr>
        <w:spacing w:after="80" w:line="360" w:lineRule="exact"/>
      </w:pPr>
      <w:r>
        <w:rPr>
          <w:rFonts w:ascii="微软雅黑" w:hAnsi="微软雅黑" w:eastAsia="微软雅黑"/>
          <w:b w:val="0"/>
          <w:sz w:val="21"/>
        </w:rPr>
        <w:t>Kim等（2024）在Educational Psychology Review发表的系统综述确认：HRV在测量教育环境中的应激水平时具有中等程度的共时效度，可穿戴设备因佩戴便捷、可连续监测而成为首选[17]。Bloomfield等（2024）利用大一学生睡眠数据证明HRV每增加1毫秒，高度应激几率降低1.2%[18]。Al-Hamad等（2024）对27项可穿戴AI研究的荟萃分析确认SVM和CNN是表现最好的应激分类算法[19]。日本学者对103名大学生的追踪研究发现学生的集体生理应激模式与学期考试周期高度吻合 -- 考试周的群体性静息心率升高和HRV下降是一种可被检测的"结构性应激"信号[20]。</w:t>
      </w:r>
    </w:p>
    <w:p w14:paraId="7E04D3A8">
      <w:pPr>
        <w:spacing w:after="80" w:line="360" w:lineRule="exact"/>
        <w:rPr>
          <w:rFonts w:ascii="微软雅黑" w:hAnsi="微软雅黑" w:eastAsia="微软雅黑"/>
          <w:b w:val="0"/>
          <w:sz w:val="21"/>
        </w:rPr>
      </w:pPr>
      <w:r>
        <w:rPr>
          <w:rFonts w:ascii="微软雅黑" w:hAnsi="微软雅黑" w:eastAsia="微软雅黑"/>
          <w:b w:val="0"/>
          <w:sz w:val="21"/>
        </w:rPr>
        <w:t>Laborde等（2017）和Shaffer与Ginsberg（2017）分别提出了HRV实验设计与常模标准[21,22]。</w:t>
      </w:r>
    </w:p>
    <w:p w14:paraId="21ADAAE0">
      <w:pPr>
        <w:spacing w:after="80" w:line="360" w:lineRule="exact"/>
        <w:rPr>
          <w:rFonts w:ascii="微软雅黑" w:hAnsi="微软雅黑" w:eastAsia="微软雅黑"/>
          <w:b w:val="0"/>
          <w:sz w:val="21"/>
        </w:rPr>
      </w:pPr>
    </w:p>
    <w:p w14:paraId="36D4AAE9">
      <w:pPr>
        <w:spacing w:after="80" w:line="360" w:lineRule="exact"/>
      </w:pPr>
      <w:r>
        <w:rPr>
          <w:rFonts w:ascii="微软雅黑" w:hAnsi="微软雅黑" w:eastAsia="微软雅黑"/>
          <w:b w:val="0"/>
          <w:sz w:val="21"/>
        </w:rPr>
        <w:t>上述证据链共同表明：可穿戴HRV监测已具备学术可行性，但目前尚无任何研究将其纳入职业规划的决策辅助框架 -- 这构成我们产品的学术创新空间。</w:t>
      </w:r>
    </w:p>
    <w:p w14:paraId="59C32ECA">
      <w:pPr>
        <w:pStyle w:val="3"/>
      </w:pPr>
      <w:r>
        <w:rPr>
          <w:rFonts w:ascii="微软雅黑" w:hAnsi="微软雅黑" w:eastAsia="微软雅黑"/>
        </w:rPr>
        <w:t>四、主题二：家庭因素的多维分层影响</w:t>
      </w:r>
    </w:p>
    <w:p w14:paraId="5ADEB988">
      <w:pPr>
        <w:pStyle w:val="4"/>
      </w:pPr>
      <w:r>
        <w:rPr>
          <w:rFonts w:ascii="微软雅黑" w:hAnsi="微软雅黑" w:eastAsia="微软雅黑"/>
        </w:rPr>
        <w:t>4.1 家庭社会经济地位与代际传递</w:t>
      </w:r>
    </w:p>
    <w:p w14:paraId="3625DA35">
      <w:pPr>
        <w:spacing w:after="80" w:line="360" w:lineRule="exact"/>
      </w:pPr>
      <w:r>
        <w:rPr>
          <w:rFonts w:ascii="微软雅黑" w:hAnsi="微软雅黑" w:eastAsia="微软雅黑"/>
          <w:b w:val="0"/>
          <w:sz w:val="21"/>
        </w:rPr>
        <w:t>家庭社会经济地位（SES）通常从父母职业、受教育程度和家庭收入三方面测量[23]，是影响大学生职业发展的最经典变量之一。王昳玥等（2021）基于550名大学生数据发现，家庭SES通过心理资本（希望、韧性、乐观、自我效能）的完全中介效应间接影响职业探索水平[24]。曲可佳和邹泓（2013）揭示了传导路径：父母受教育水平--教养行为--子女职业探索[25]。郝建与胡永远的研究发现，家庭背景的间接影响比直接影响更为显著 -- 优势家庭背景的大学生不仅在物质资源上具有优势，更在信息获取、机会识别等"看不见"的层面占据先机[26]。</w:t>
      </w:r>
    </w:p>
    <w:p w14:paraId="6B2CAE9C">
      <w:pPr>
        <w:pStyle w:val="4"/>
      </w:pPr>
      <w:r>
        <w:rPr>
          <w:rFonts w:ascii="微软雅黑" w:hAnsi="微软雅黑" w:eastAsia="微软雅黑"/>
        </w:rPr>
        <w:t>4.2 家庭资本的三维结构</w:t>
      </w:r>
    </w:p>
    <w:p w14:paraId="13EC4EDC">
      <w:pPr>
        <w:spacing w:after="80" w:line="360" w:lineRule="exact"/>
      </w:pPr>
      <w:r>
        <w:rPr>
          <w:rFonts w:ascii="微软雅黑" w:hAnsi="微软雅黑" w:eastAsia="微软雅黑"/>
          <w:b w:val="0"/>
          <w:sz w:val="21"/>
        </w:rPr>
        <w:t>家庭资本并非单一维度，而是包含经济资本、文化资本和社会资本三个层面[27]。Li等（2012）在Journal of Development Economics上的研究以高考成绩作为能力控制变量，发现拥有"干部父母"的毕业生起薪溢价高达15%，且不能由大学质量、专业选择和在校人力资本积累解释[28]。边燕杰等（2008）发现父亲为国家机关干部的大学生选择政府部门就业的几率高2.67倍[29]。</w:t>
      </w:r>
    </w:p>
    <w:p w14:paraId="741FA19F">
      <w:pPr>
        <w:spacing w:after="80" w:line="360" w:lineRule="exact"/>
      </w:pPr>
      <w:r>
        <w:rPr>
          <w:rFonts w:ascii="微软雅黑" w:hAnsi="微软雅黑" w:eastAsia="微软雅黑"/>
          <w:b w:val="0"/>
          <w:sz w:val="21"/>
        </w:rPr>
        <w:t>在一项基于河南、江西两省118名大学生的研究中，家庭所在地和父母文化程度成为大学生做出不同毕业选择的关键影响因素[27]。周宇香（2020）的全国性数据则揭示了家庭约束的另一面：78.3%的贫困在校生偏好体制内就业，但实际进入比例仅为45.4% -- 期望与现实之间存在结构性断裂[30]。刘保中等（2021）基于全国20所高校数据证明，先赋性因素和后致性因素共同影响就业能力，但后致性因素影响更大[31]。</w:t>
      </w:r>
    </w:p>
    <w:p w14:paraId="7E281E3D">
      <w:pPr>
        <w:pStyle w:val="4"/>
      </w:pPr>
      <w:r>
        <w:rPr>
          <w:rFonts w:ascii="微软雅黑" w:hAnsi="微软雅黑" w:eastAsia="微软雅黑"/>
        </w:rPr>
        <w:t>4.3 家庭功能的动态过程</w:t>
      </w:r>
    </w:p>
    <w:p w14:paraId="5B34CC8E">
      <w:pPr>
        <w:spacing w:after="80" w:line="360" w:lineRule="exact"/>
      </w:pPr>
      <w:r>
        <w:rPr>
          <w:rFonts w:ascii="微软雅黑" w:hAnsi="微软雅黑" w:eastAsia="微软雅黑"/>
          <w:b w:val="0"/>
          <w:sz w:val="21"/>
        </w:rPr>
        <w:t>刘天阳与顾雪英的研究系统区分了家庭因素的"静态变量"与"动态功能"两个维度 -- 以往研究多聚焦于家庭经济条件、父母职业等静态背景，而家庭沟通、情感表达和问题解决等动态过程同样对大学生的职业探索产生显著作用[32]。基于萨提亚家庭理论的研究进一步证实，家庭系统情境中的动态因素 -- 包括父母职业支持、父母职业冷淡、亲子关系质量和家庭压力感 -- 均显著影响职业决策自我效能感[33]。</w:t>
      </w:r>
    </w:p>
    <w:p w14:paraId="56FA2C1B">
      <w:pPr>
        <w:pStyle w:val="4"/>
      </w:pPr>
      <w:r>
        <w:rPr>
          <w:rFonts w:ascii="微软雅黑" w:hAnsi="微软雅黑" w:eastAsia="微软雅黑"/>
        </w:rPr>
        <w:t>4.4 父母期望的复杂效应</w:t>
      </w:r>
    </w:p>
    <w:p w14:paraId="4FB28818">
      <w:pPr>
        <w:spacing w:after="80" w:line="360" w:lineRule="exact"/>
      </w:pPr>
      <w:r>
        <w:rPr>
          <w:rFonts w:ascii="微软雅黑" w:hAnsi="微软雅黑" w:eastAsia="微软雅黑"/>
          <w:b w:val="0"/>
          <w:sz w:val="21"/>
        </w:rPr>
        <w:t>Zhou等（2023）基于3196名中国青少年的三年追踪数据发现，父母职业期望与生涯适应力之间存在跨时间双向预测关系，而"与职业相关的父母支持"在两者之间起中介作用[34]。Qi等（2024）对2540名高中生的纵向追踪进一步发现，父母职业期望通过职业探索对职业抱负产生间接影响，直接效应不显著 -- "父母说你应该做什么"无法直接改变子女的职业抱负，只有通过激发主动探索才有效[35]。</w:t>
      </w:r>
    </w:p>
    <w:p w14:paraId="3463F1EF">
      <w:pPr>
        <w:spacing w:after="80" w:line="360" w:lineRule="exact"/>
      </w:pPr>
      <w:r>
        <w:rPr>
          <w:rFonts w:ascii="微软雅黑" w:hAnsi="微软雅黑" w:eastAsia="微软雅黑"/>
          <w:b w:val="0"/>
          <w:sz w:val="21"/>
        </w:rPr>
        <w:t>Zhu等（2023）区分了两种父母期望 -- "回报/声望期望"和"舒适/稳定期望" -- 并发现存在显著的性别调节效应。女性的职业决策犹豫同时受两类期望的交互影响（父母既希望女儿有出息又担心太辛苦），而男性仅受舒适/稳定期望的单独影响[36]。此外，感知到的父母期望存在倒U型效应 -- 适度期望促进发展，过高期望引发内化问题与退缩行为[37]。</w:t>
      </w:r>
    </w:p>
    <w:p w14:paraId="1CCFAD06">
      <w:pPr>
        <w:pStyle w:val="3"/>
      </w:pPr>
      <w:r>
        <w:rPr>
          <w:rFonts w:ascii="微软雅黑" w:hAnsi="微软雅黑" w:eastAsia="微软雅黑"/>
        </w:rPr>
        <w:t>五、主题三：自主目标设定的理论与实证依据</w:t>
      </w:r>
    </w:p>
    <w:p w14:paraId="5D946B71">
      <w:pPr>
        <w:pStyle w:val="4"/>
      </w:pPr>
      <w:r>
        <w:rPr>
          <w:rFonts w:ascii="微软雅黑" w:hAnsi="微软雅黑" w:eastAsia="微软雅黑"/>
        </w:rPr>
        <w:t>5.1 职业决策自我效能感的核心地位</w:t>
      </w:r>
    </w:p>
    <w:p w14:paraId="47E17833">
      <w:pPr>
        <w:spacing w:after="80" w:line="360" w:lineRule="exact"/>
      </w:pPr>
      <w:r>
        <w:rPr>
          <w:rFonts w:ascii="微软雅黑" w:hAnsi="微软雅黑" w:eastAsia="微软雅黑"/>
          <w:b w:val="0"/>
          <w:sz w:val="21"/>
        </w:rPr>
        <w:t>职业决策自我效能感（CDMSE）包括自我评价、收集信息、选择目标、制定规划和解决问题五个维度[38]。一项以近15年发表的58篇文献、26501个独立样本为对象的元分析表明，性别、年级和生源地等因素在不同水平上对CDMSE产生显著差异[39]。值得注意的是，五维度中"选择目标"与"制定规划"的顺序揭示了规划的核心逻辑：先有清晰的目标选择，后有系统的规划制定。</w:t>
      </w:r>
    </w:p>
    <w:p w14:paraId="16CDD254">
      <w:pPr>
        <w:spacing w:after="80" w:line="360" w:lineRule="exact"/>
      </w:pPr>
      <w:r>
        <w:rPr>
          <w:rFonts w:ascii="微软雅黑" w:hAnsi="微软雅黑" w:eastAsia="微软雅黑"/>
          <w:b w:val="0"/>
          <w:sz w:val="21"/>
        </w:rPr>
        <w:t>大学生核心自我评价既直接影响生涯适应力，也通过职业决策自我效能感和使命感的多重中介作用间接影响生涯适应力[40]。归因风格和心理韧性与CDMSE之间存在显著相关 -- "相信自己能选对"的信念本身就是职业探索行为的启动条件[41]。</w:t>
      </w:r>
    </w:p>
    <w:p w14:paraId="43547580">
      <w:pPr>
        <w:pStyle w:val="4"/>
      </w:pPr>
      <w:r>
        <w:rPr>
          <w:rFonts w:ascii="微软雅黑" w:hAnsi="微软雅黑" w:eastAsia="微软雅黑"/>
        </w:rPr>
        <w:t>5.2 从《金榜题名之后》到"小镇做题家"</w:t>
      </w:r>
    </w:p>
    <w:p w14:paraId="1FFB8345">
      <w:pPr>
        <w:spacing w:after="80" w:line="360" w:lineRule="exact"/>
      </w:pPr>
      <w:r>
        <w:rPr>
          <w:rFonts w:ascii="微软雅黑" w:hAnsi="微软雅黑" w:eastAsia="微软雅黑"/>
          <w:b w:val="0"/>
          <w:sz w:val="21"/>
        </w:rPr>
        <w:t>郑雅君（2023）的《金榜题名之后：大学生出路分化之谜》基于对北京和上海两所顶尖高校62名毕业生的深度访谈（每人3-6小时），提出了"目标掌控模式"与"直觉依赖模式"的二分框架[42]。前者有策略地利用大学资源并自主掌控生涯方向；后者则凭直觉和旧有习惯组织大学生活，缺乏明确方向。核心发现是：这两种模式不是个人能力的差异，而是不同阶层习性的产物。</w:t>
      </w:r>
    </w:p>
    <w:p w14:paraId="760B28FA">
      <w:pPr>
        <w:spacing w:after="80" w:line="360" w:lineRule="exact"/>
      </w:pPr>
      <w:r>
        <w:rPr>
          <w:rFonts w:ascii="微软雅黑" w:hAnsi="微软雅黑" w:eastAsia="微软雅黑"/>
          <w:b w:val="0"/>
          <w:sz w:val="21"/>
        </w:rPr>
        <w:t>研究进一步区分了"小镇做题家"的两个亚型："县域中产做题家"（家庭教养模式以高期望-严要求-强干预为特征）和"农村做题家"（面临经济资本与文化资本的双重匮乏）[43]。从场域理论的角度来看，"小镇做题家"经历了从"分数至上"的应试场域到"综合素质"的大学场域的剧烈转换 -- 不同场域之间规则的巨大差异使其面临深刻的认知失调和适应困难[44]。</w:t>
      </w:r>
    </w:p>
    <w:p w14:paraId="3FA660FA">
      <w:pPr>
        <w:spacing w:after="80" w:line="360" w:lineRule="exact"/>
      </w:pPr>
      <w:r>
        <w:rPr>
          <w:rFonts w:ascii="微软雅黑" w:hAnsi="微软雅黑" w:eastAsia="微软雅黑"/>
          <w:b w:val="0"/>
          <w:sz w:val="21"/>
        </w:rPr>
        <w:t>布尔迪厄和帕斯隆（1964/2002）的文化再生产理论、拉鲁（2003/2018）的"协作培养 vs 自然成长"教养模式民族志为上述中国经验提供了宏观理论框架[45,46]。</w:t>
      </w:r>
    </w:p>
    <w:p w14:paraId="74D1B7FE">
      <w:pPr>
        <w:pStyle w:val="4"/>
      </w:pPr>
      <w:r>
        <w:rPr>
          <w:rFonts w:ascii="微软雅黑" w:hAnsi="微软雅黑" w:eastAsia="微软雅黑"/>
        </w:rPr>
        <w:t>5.3 目标先行的规划逻辑</w:t>
      </w:r>
    </w:p>
    <w:p w14:paraId="4AD264B5">
      <w:pPr>
        <w:spacing w:after="80" w:line="360" w:lineRule="exact"/>
      </w:pPr>
      <w:r>
        <w:rPr>
          <w:rFonts w:ascii="微软雅黑" w:hAnsi="微软雅黑" w:eastAsia="微软雅黑"/>
          <w:b w:val="0"/>
          <w:sz w:val="21"/>
        </w:rPr>
        <w:t>综合SDT的自主性需求、CCT的生涯适应力建构、SCCT的职业目标中介效应和CDMSE的目标-规划顺序，一个清晰的学术共识浮现：职业规划的有效性取决于目标澄清的质量，而非规划工具的复杂度。郑雅君指出"光有一个短期筹划是不够的，你要知道你上大学到底为了什么。优势家庭的孩子真正优势就在于，掌控目标很可能本身就是他们的直觉"[42]。</w:t>
      </w:r>
    </w:p>
    <w:p w14:paraId="0FD75478">
      <w:pPr>
        <w:pStyle w:val="3"/>
      </w:pPr>
      <w:r>
        <w:rPr>
          <w:rFonts w:ascii="微软雅黑" w:hAnsi="微软雅黑" w:eastAsia="微软雅黑"/>
        </w:rPr>
        <w:t>六、主题四：综合因素交互与产品设计路径</w:t>
      </w:r>
    </w:p>
    <w:p w14:paraId="4793C9B8">
      <w:pPr>
        <w:pStyle w:val="4"/>
      </w:pPr>
      <w:r>
        <w:rPr>
          <w:rFonts w:ascii="微软雅黑" w:hAnsi="微软雅黑" w:eastAsia="微软雅黑"/>
        </w:rPr>
        <w:t>6.1 多维因素的交互网络</w:t>
      </w:r>
    </w:p>
    <w:p w14:paraId="67C04163">
      <w:pPr>
        <w:spacing w:after="80" w:line="360" w:lineRule="exact"/>
      </w:pPr>
      <w:r>
        <w:rPr>
          <w:rFonts w:ascii="微软雅黑" w:hAnsi="微软雅黑" w:eastAsia="微软雅黑"/>
          <w:b w:val="0"/>
          <w:sz w:val="21"/>
        </w:rPr>
        <w:t>上述四个维度的因素并非孤立作用，而是相互交织的复合机制。家庭经济状况直接影响青少年的营养条件、医疗保障和心理支持环境[48]。家庭教养方式通过成就动机和自我效能感等中介变量影响生涯适应力[25]，父母支持的质量直接塑造子女的职业决策自我效能感[34]。心理健康状况通过影响归因风格和心理韧性间接影响决策质量[13,41]。</w:t>
      </w:r>
    </w:p>
    <w:p w14:paraId="7F4D24DB">
      <w:pPr>
        <w:spacing w:after="80" w:line="360" w:lineRule="exact"/>
      </w:pPr>
      <w:r>
        <w:rPr>
          <w:rFonts w:ascii="微软雅黑" w:hAnsi="微软雅黑" w:eastAsia="微软雅黑"/>
          <w:b w:val="0"/>
          <w:sz w:val="21"/>
        </w:rPr>
        <w:t>"小镇做题家"群体在自我效能感、职业方向感和工作意义感等心理资源维度上普遍偏低，恰恰是这些心理资源的匮乏使其陷入"不知道往哪里去"的根本困境[42]。"县域中产"与"农村"两个亚型在家庭资本结构上的差异，进一步说明了单一维度的干预必然不足 -- 前者需要的是自主决策训练，后者需要的是信息供给和试错成本补偿[43]。</w:t>
      </w:r>
    </w:p>
    <w:p w14:paraId="2B24FA58">
      <w:pPr>
        <w:pStyle w:val="4"/>
      </w:pPr>
      <w:r>
        <w:rPr>
          <w:rFonts w:ascii="微软雅黑" w:hAnsi="微软雅黑" w:eastAsia="微软雅黑"/>
        </w:rPr>
        <w:t>6.2 产品设计的六大原则</w:t>
      </w:r>
    </w:p>
    <w:p w14:paraId="4BDCB5C8">
      <w:pPr>
        <w:spacing w:after="80" w:line="360" w:lineRule="exact"/>
      </w:pPr>
      <w:r>
        <w:rPr>
          <w:rFonts w:ascii="微软雅黑" w:hAnsi="微软雅黑" w:eastAsia="微软雅黑"/>
          <w:b w:val="0"/>
          <w:sz w:val="21"/>
        </w:rPr>
        <w:t>第一，以"目标澄清"为起点。产品必须包含Step 0，强制学生在起点明确"我在为谁、为了什么做这个规划" -- 这不是一道可有可无的入口题，而是整套推演逻辑的锚点[1,6,24,42]。</w:t>
      </w:r>
    </w:p>
    <w:p w14:paraId="3E5E4EF4">
      <w:pPr>
        <w:spacing w:after="80" w:line="360" w:lineRule="exact"/>
      </w:pPr>
      <w:r>
        <w:rPr>
          <w:rFonts w:ascii="微软雅黑" w:hAnsi="微软雅黑" w:eastAsia="微软雅黑"/>
          <w:b w:val="0"/>
          <w:sz w:val="21"/>
        </w:rPr>
        <w:t>第二，将身心健康纳入职业规划框架。产品应包含心理健康筛查、生理耐受度评估和适配岗位的身体约束提示 -- 让"硬件"先说话[15,16]。可穿戴生理监测的学术可行性已经确立[17-22]，将其引入规划辅助是行业首创。</w:t>
      </w:r>
    </w:p>
    <w:p w14:paraId="700168A7">
      <w:pPr>
        <w:spacing w:after="80" w:line="360" w:lineRule="exact"/>
      </w:pPr>
      <w:r>
        <w:rPr>
          <w:rFonts w:ascii="微软雅黑" w:hAnsi="微软雅黑" w:eastAsia="微软雅黑"/>
          <w:b w:val="0"/>
          <w:sz w:val="21"/>
        </w:rPr>
        <w:t>第三，家庭因素的差异化识别。产品应能区分家庭经济条件、父母期望类型和支持质量，进行多维度建模而非单一标签化[24,25,34,36]。对低SES学生提供信息和资源的补偿设计；对高期望-强干预学生则需要设置自主决策的"防火墙"机制。</w:t>
      </w:r>
    </w:p>
    <w:p w14:paraId="7F3BA189">
      <w:pPr>
        <w:spacing w:after="80" w:line="360" w:lineRule="exact"/>
      </w:pPr>
      <w:r>
        <w:rPr>
          <w:rFonts w:ascii="微软雅黑" w:hAnsi="微软雅黑" w:eastAsia="微软雅黑"/>
          <w:b w:val="0"/>
          <w:sz w:val="21"/>
        </w:rPr>
        <w:t>第四，针对"小镇做题家"的专项设计。该群体最迫切的需求包括：职业世界的信息补全、精英大学隐性规则的显性化、从"做题逻辑"到"规划逻辑"的认知转换[42,43,44]。前人案例引擎直接服务于这一需求。</w:t>
      </w:r>
    </w:p>
    <w:p w14:paraId="779AFA70">
      <w:pPr>
        <w:spacing w:after="80" w:line="360" w:lineRule="exact"/>
      </w:pPr>
      <w:r>
        <w:rPr>
          <w:rFonts w:ascii="微软雅黑" w:hAnsi="微软雅黑" w:eastAsia="微软雅黑"/>
          <w:b w:val="0"/>
          <w:sz w:val="21"/>
        </w:rPr>
        <w:t>第五，建立"目的-客观筛查-案例验证-任务-反馈"的完整闭环。基于SCCT中"环境-个人-行为"三者的交互框架[3]，产品应通过持续反馈帮助用户动态调整路径。</w:t>
      </w:r>
    </w:p>
    <w:p w14:paraId="0B9F1E90">
      <w:pPr>
        <w:spacing w:after="80" w:line="360" w:lineRule="exact"/>
      </w:pPr>
      <w:r>
        <w:rPr>
          <w:rFonts w:ascii="微软雅黑" w:hAnsi="微软雅黑" w:eastAsia="微软雅黑"/>
          <w:b w:val="0"/>
          <w:sz w:val="21"/>
        </w:rPr>
        <w:t>第六，避免"宿命化"。刘保中等的研究证明后致性因素的效应大于先赋性因素[31] -- 产品必须在对客观约束的诚实评估和"个人可突破的限制空间"之间找到平衡，不能用出身给用户提前宣判。</w:t>
      </w:r>
    </w:p>
    <w:p w14:paraId="0D3EAE93">
      <w:pPr>
        <w:pStyle w:val="3"/>
      </w:pPr>
      <w:r>
        <w:rPr>
          <w:rFonts w:ascii="微软雅黑" w:hAnsi="微软雅黑" w:eastAsia="微软雅黑"/>
        </w:rPr>
        <w:t>七、研究结论与产品设计启示</w:t>
      </w:r>
    </w:p>
    <w:p w14:paraId="7F2B15D6">
      <w:pPr>
        <w:spacing w:after="160" w:line="360" w:lineRule="exact"/>
      </w:pPr>
      <w:r>
        <w:rPr>
          <w:rFonts w:ascii="微软雅黑" w:hAnsi="微软雅黑" w:eastAsia="微软雅黑"/>
          <w:b w:val="0"/>
          <w:sz w:val="21"/>
        </w:rPr>
        <w:t>基于以上多维度的文献回顾，本研究的核心结论与产品设计启示可归纳如下：</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881"/>
        <w:gridCol w:w="1881"/>
        <w:gridCol w:w="1881"/>
        <w:gridCol w:w="1881"/>
        <w:gridCol w:w="1881"/>
      </w:tblGrid>
      <w:tr w14:paraId="2C78AA0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881" w:type="dxa"/>
          </w:tcPr>
          <w:p w14:paraId="1A3EA6CE">
            <w:pPr>
              <w:spacing w:after="0"/>
            </w:pPr>
            <w:r>
              <w:rPr>
                <w:rFonts w:ascii="微软雅黑" w:hAnsi="微软雅黑" w:eastAsia="微软雅黑"/>
                <w:b/>
                <w:color w:val="FFFFFF"/>
                <w:sz w:val="16"/>
              </w:rPr>
              <w:t>主题</w:t>
            </w:r>
          </w:p>
        </w:tc>
        <w:tc>
          <w:tcPr>
            <w:tcW w:w="1881" w:type="dxa"/>
          </w:tcPr>
          <w:p w14:paraId="21180862">
            <w:pPr>
              <w:spacing w:after="0"/>
            </w:pPr>
            <w:r>
              <w:rPr>
                <w:rFonts w:ascii="微软雅黑" w:hAnsi="微软雅黑" w:eastAsia="微软雅黑"/>
                <w:b/>
                <w:color w:val="FFFFFF"/>
                <w:sz w:val="16"/>
              </w:rPr>
              <w:t>子主题</w:t>
            </w:r>
          </w:p>
        </w:tc>
        <w:tc>
          <w:tcPr>
            <w:tcW w:w="1881" w:type="dxa"/>
          </w:tcPr>
          <w:p w14:paraId="298B68BB">
            <w:pPr>
              <w:spacing w:after="0"/>
            </w:pPr>
            <w:r>
              <w:rPr>
                <w:rFonts w:ascii="微软雅黑" w:hAnsi="微软雅黑" w:eastAsia="微软雅黑"/>
                <w:b/>
                <w:color w:val="FFFFFF"/>
                <w:sz w:val="16"/>
              </w:rPr>
              <w:t>核心发现</w:t>
            </w:r>
          </w:p>
        </w:tc>
        <w:tc>
          <w:tcPr>
            <w:tcW w:w="1881" w:type="dxa"/>
          </w:tcPr>
          <w:p w14:paraId="4A75808A">
            <w:pPr>
              <w:spacing w:after="0"/>
            </w:pPr>
            <w:r>
              <w:rPr>
                <w:rFonts w:ascii="微软雅黑" w:hAnsi="微软雅黑" w:eastAsia="微软雅黑"/>
                <w:b/>
                <w:color w:val="FFFFFF"/>
                <w:sz w:val="16"/>
              </w:rPr>
              <w:t>产品启示</w:t>
            </w:r>
          </w:p>
        </w:tc>
        <w:tc>
          <w:tcPr>
            <w:tcW w:w="1881" w:type="dxa"/>
          </w:tcPr>
          <w:p w14:paraId="40B565FF">
            <w:pPr>
              <w:spacing w:after="0"/>
            </w:pPr>
            <w:r>
              <w:rPr>
                <w:rFonts w:ascii="微软雅黑" w:hAnsi="微软雅黑" w:eastAsia="微软雅黑"/>
                <w:b/>
                <w:color w:val="FFFFFF"/>
                <w:sz w:val="16"/>
              </w:rPr>
              <w:t>文献</w:t>
            </w:r>
          </w:p>
        </w:tc>
      </w:tr>
      <w:tr w14:paraId="71A3739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881" w:type="dxa"/>
          </w:tcPr>
          <w:p w14:paraId="7088C60D">
            <w:pPr>
              <w:spacing w:after="0"/>
            </w:pPr>
            <w:r>
              <w:rPr>
                <w:rFonts w:ascii="微软雅黑" w:hAnsi="微软雅黑" w:eastAsia="微软雅黑"/>
                <w:sz w:val="16"/>
              </w:rPr>
              <w:t>理论基础</w:t>
            </w:r>
          </w:p>
        </w:tc>
        <w:tc>
          <w:tcPr>
            <w:tcW w:w="1881" w:type="dxa"/>
          </w:tcPr>
          <w:p w14:paraId="7E389157">
            <w:pPr>
              <w:spacing w:after="0"/>
            </w:pPr>
            <w:r>
              <w:rPr>
                <w:rFonts w:ascii="微软雅黑" w:hAnsi="微软雅黑" w:eastAsia="微软雅黑"/>
                <w:sz w:val="16"/>
              </w:rPr>
              <w:t>SDT</w:t>
            </w:r>
          </w:p>
        </w:tc>
        <w:tc>
          <w:tcPr>
            <w:tcW w:w="1881" w:type="dxa"/>
          </w:tcPr>
          <w:p w14:paraId="7AA91AE5">
            <w:pPr>
              <w:spacing w:after="0"/>
            </w:pPr>
            <w:r>
              <w:rPr>
                <w:rFonts w:ascii="微软雅黑" w:hAnsi="微软雅黑" w:eastAsia="微软雅黑"/>
                <w:sz w:val="16"/>
              </w:rPr>
              <w:t>自主性需求满足预测决策质量与持续性</w:t>
            </w:r>
          </w:p>
        </w:tc>
        <w:tc>
          <w:tcPr>
            <w:tcW w:w="1881" w:type="dxa"/>
          </w:tcPr>
          <w:p w14:paraId="5234B762">
            <w:pPr>
              <w:spacing w:after="0"/>
            </w:pPr>
            <w:r>
              <w:rPr>
                <w:rFonts w:ascii="微软雅黑" w:hAnsi="微软雅黑" w:eastAsia="微软雅黑"/>
                <w:sz w:val="16"/>
              </w:rPr>
              <w:t>目的先行</w:t>
            </w:r>
          </w:p>
        </w:tc>
        <w:tc>
          <w:tcPr>
            <w:tcW w:w="1881" w:type="dxa"/>
          </w:tcPr>
          <w:p w14:paraId="0EC0A225">
            <w:pPr>
              <w:spacing w:after="0"/>
            </w:pPr>
            <w:r>
              <w:rPr>
                <w:rFonts w:ascii="微软雅黑" w:hAnsi="微软雅黑" w:eastAsia="微软雅黑"/>
                <w:sz w:val="16"/>
              </w:rPr>
              <w:t>[1,4,5]</w:t>
            </w:r>
          </w:p>
        </w:tc>
      </w:tr>
      <w:tr w14:paraId="6DD57B5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881" w:type="dxa"/>
          </w:tcPr>
          <w:p w14:paraId="3FF63640">
            <w:pPr>
              <w:spacing w:after="0"/>
            </w:pPr>
            <w:r>
              <w:rPr>
                <w:rFonts w:ascii="微软雅黑" w:hAnsi="微软雅黑" w:eastAsia="微软雅黑"/>
                <w:sz w:val="16"/>
              </w:rPr>
              <w:t>理论基础</w:t>
            </w:r>
          </w:p>
        </w:tc>
        <w:tc>
          <w:tcPr>
            <w:tcW w:w="1881" w:type="dxa"/>
          </w:tcPr>
          <w:p w14:paraId="0837FEC4">
            <w:pPr>
              <w:spacing w:after="0"/>
            </w:pPr>
            <w:r>
              <w:rPr>
                <w:rFonts w:ascii="微软雅黑" w:hAnsi="微软雅黑" w:eastAsia="微软雅黑"/>
                <w:sz w:val="16"/>
              </w:rPr>
              <w:t>CCT</w:t>
            </w:r>
          </w:p>
        </w:tc>
        <w:tc>
          <w:tcPr>
            <w:tcW w:w="1881" w:type="dxa"/>
          </w:tcPr>
          <w:p w14:paraId="442A2F17">
            <w:pPr>
              <w:spacing w:after="0"/>
            </w:pPr>
            <w:r>
              <w:rPr>
                <w:rFonts w:ascii="微软雅黑" w:hAnsi="微软雅黑" w:eastAsia="微软雅黑"/>
                <w:sz w:val="16"/>
              </w:rPr>
              <w:t>生涯适应力是可培养的心理资源</w:t>
            </w:r>
          </w:p>
        </w:tc>
        <w:tc>
          <w:tcPr>
            <w:tcW w:w="1881" w:type="dxa"/>
          </w:tcPr>
          <w:p w14:paraId="388E0054">
            <w:pPr>
              <w:spacing w:after="0"/>
            </w:pPr>
            <w:r>
              <w:rPr>
                <w:rFonts w:ascii="微软雅黑" w:hAnsi="微软雅黑" w:eastAsia="微软雅黑"/>
                <w:sz w:val="16"/>
              </w:rPr>
              <w:t>多赛道可视化推演</w:t>
            </w:r>
          </w:p>
        </w:tc>
        <w:tc>
          <w:tcPr>
            <w:tcW w:w="1881" w:type="dxa"/>
          </w:tcPr>
          <w:p w14:paraId="6FFBC67D">
            <w:pPr>
              <w:spacing w:after="0"/>
            </w:pPr>
            <w:r>
              <w:rPr>
                <w:rFonts w:ascii="微软雅黑" w:hAnsi="微软雅黑" w:eastAsia="微软雅黑"/>
                <w:sz w:val="16"/>
              </w:rPr>
              <w:t>[2,6,7,8]</w:t>
            </w:r>
          </w:p>
        </w:tc>
      </w:tr>
      <w:tr w14:paraId="6AE083F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881" w:type="dxa"/>
          </w:tcPr>
          <w:p w14:paraId="2DADB36C">
            <w:pPr>
              <w:spacing w:after="0"/>
            </w:pPr>
            <w:r>
              <w:rPr>
                <w:rFonts w:ascii="微软雅黑" w:hAnsi="微软雅黑" w:eastAsia="微软雅黑"/>
                <w:sz w:val="16"/>
              </w:rPr>
              <w:t>理论基础</w:t>
            </w:r>
          </w:p>
        </w:tc>
        <w:tc>
          <w:tcPr>
            <w:tcW w:w="1881" w:type="dxa"/>
          </w:tcPr>
          <w:p w14:paraId="4F65B99A">
            <w:pPr>
              <w:spacing w:after="0"/>
            </w:pPr>
            <w:r>
              <w:rPr>
                <w:rFonts w:ascii="微软雅黑" w:hAnsi="微软雅黑" w:eastAsia="微软雅黑"/>
                <w:sz w:val="16"/>
              </w:rPr>
              <w:t>SCCT</w:t>
            </w:r>
          </w:p>
        </w:tc>
        <w:tc>
          <w:tcPr>
            <w:tcW w:w="1881" w:type="dxa"/>
          </w:tcPr>
          <w:p w14:paraId="78772E84">
            <w:pPr>
              <w:spacing w:after="0"/>
            </w:pPr>
            <w:r>
              <w:rPr>
                <w:rFonts w:ascii="微软雅黑" w:hAnsi="微软雅黑" w:eastAsia="微软雅黑"/>
                <w:sz w:val="16"/>
              </w:rPr>
              <w:t>自我效能+结果期待到职业目标到职业行为</w:t>
            </w:r>
          </w:p>
        </w:tc>
        <w:tc>
          <w:tcPr>
            <w:tcW w:w="1881" w:type="dxa"/>
          </w:tcPr>
          <w:p w14:paraId="60A19023">
            <w:pPr>
              <w:spacing w:after="0"/>
            </w:pPr>
            <w:r>
              <w:rPr>
                <w:rFonts w:ascii="微软雅黑" w:hAnsi="微软雅黑" w:eastAsia="微软雅黑"/>
                <w:sz w:val="16"/>
              </w:rPr>
              <w:t>画像+路径闭环</w:t>
            </w:r>
          </w:p>
        </w:tc>
        <w:tc>
          <w:tcPr>
            <w:tcW w:w="1881" w:type="dxa"/>
          </w:tcPr>
          <w:p w14:paraId="664FCDEC">
            <w:pPr>
              <w:spacing w:after="0"/>
            </w:pPr>
            <w:r>
              <w:rPr>
                <w:rFonts w:ascii="微软雅黑" w:hAnsi="微软雅黑" w:eastAsia="微软雅黑"/>
                <w:sz w:val="16"/>
              </w:rPr>
              <w:t>[3,9,10]</w:t>
            </w:r>
          </w:p>
        </w:tc>
      </w:tr>
      <w:tr w14:paraId="4ACA8AE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881" w:type="dxa"/>
          </w:tcPr>
          <w:p w14:paraId="22956E42">
            <w:pPr>
              <w:spacing w:after="0"/>
            </w:pPr>
            <w:r>
              <w:rPr>
                <w:rFonts w:ascii="微软雅黑" w:hAnsi="微软雅黑" w:eastAsia="微软雅黑"/>
                <w:sz w:val="16"/>
              </w:rPr>
              <w:t>身心健康</w:t>
            </w:r>
          </w:p>
        </w:tc>
        <w:tc>
          <w:tcPr>
            <w:tcW w:w="1881" w:type="dxa"/>
          </w:tcPr>
          <w:p w14:paraId="43CF3850">
            <w:pPr>
              <w:spacing w:after="0"/>
            </w:pPr>
            <w:r>
              <w:rPr>
                <w:rFonts w:ascii="微软雅黑" w:hAnsi="微软雅黑" w:eastAsia="微软雅黑"/>
                <w:sz w:val="16"/>
              </w:rPr>
              <w:t>心理-决策双向</w:t>
            </w:r>
          </w:p>
        </w:tc>
        <w:tc>
          <w:tcPr>
            <w:tcW w:w="1881" w:type="dxa"/>
          </w:tcPr>
          <w:p w14:paraId="49B7C8C5">
            <w:pPr>
              <w:spacing w:after="0"/>
            </w:pPr>
            <w:r>
              <w:rPr>
                <w:rFonts w:ascii="微软雅黑" w:hAnsi="微软雅黑" w:eastAsia="微软雅黑"/>
                <w:sz w:val="16"/>
              </w:rPr>
              <w:t>焦虑-行动瘫痪闭环；低自尊-抑郁-低效能链</w:t>
            </w:r>
          </w:p>
        </w:tc>
        <w:tc>
          <w:tcPr>
            <w:tcW w:w="1881" w:type="dxa"/>
          </w:tcPr>
          <w:p w14:paraId="2C70A531">
            <w:pPr>
              <w:spacing w:after="0"/>
            </w:pPr>
            <w:r>
              <w:rPr>
                <w:rFonts w:ascii="微软雅黑" w:hAnsi="微软雅黑" w:eastAsia="微软雅黑"/>
                <w:sz w:val="16"/>
              </w:rPr>
              <w:t>心理健康筛查+疏导</w:t>
            </w:r>
          </w:p>
        </w:tc>
        <w:tc>
          <w:tcPr>
            <w:tcW w:w="1881" w:type="dxa"/>
          </w:tcPr>
          <w:p w14:paraId="3F8DEABA">
            <w:pPr>
              <w:spacing w:after="0"/>
            </w:pPr>
            <w:r>
              <w:rPr>
                <w:rFonts w:ascii="微软雅黑" w:hAnsi="微软雅黑" w:eastAsia="微软雅黑"/>
                <w:sz w:val="16"/>
              </w:rPr>
              <w:t>[11,12,13,14]</w:t>
            </w:r>
          </w:p>
        </w:tc>
      </w:tr>
      <w:tr w14:paraId="6352647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881" w:type="dxa"/>
          </w:tcPr>
          <w:p w14:paraId="6BF6A8FB">
            <w:pPr>
              <w:spacing w:after="0"/>
            </w:pPr>
            <w:r>
              <w:rPr>
                <w:rFonts w:ascii="微软雅黑" w:hAnsi="微软雅黑" w:eastAsia="微软雅黑"/>
                <w:sz w:val="16"/>
              </w:rPr>
              <w:t>身心健康</w:t>
            </w:r>
          </w:p>
        </w:tc>
        <w:tc>
          <w:tcPr>
            <w:tcW w:w="1881" w:type="dxa"/>
          </w:tcPr>
          <w:p w14:paraId="72F6823C">
            <w:pPr>
              <w:spacing w:after="0"/>
            </w:pPr>
            <w:r>
              <w:rPr>
                <w:rFonts w:ascii="微软雅黑" w:hAnsi="微软雅黑" w:eastAsia="微软雅黑"/>
                <w:sz w:val="16"/>
              </w:rPr>
              <w:t>生理-岗位适配</w:t>
            </w:r>
          </w:p>
        </w:tc>
        <w:tc>
          <w:tcPr>
            <w:tcW w:w="1881" w:type="dxa"/>
          </w:tcPr>
          <w:p w14:paraId="1BB56FF3">
            <w:pPr>
              <w:spacing w:after="0"/>
            </w:pPr>
            <w:r>
              <w:rPr>
                <w:rFonts w:ascii="微软雅黑" w:hAnsi="微软雅黑" w:eastAsia="微软雅黑"/>
                <w:sz w:val="16"/>
              </w:rPr>
              <w:t>生理特质决定职业耐受度；身心协同</w:t>
            </w:r>
          </w:p>
        </w:tc>
        <w:tc>
          <w:tcPr>
            <w:tcW w:w="1881" w:type="dxa"/>
          </w:tcPr>
          <w:p w14:paraId="2D21ECC3">
            <w:pPr>
              <w:spacing w:after="0"/>
            </w:pPr>
            <w:r>
              <w:rPr>
                <w:rFonts w:ascii="微软雅黑" w:hAnsi="微软雅黑" w:eastAsia="微软雅黑"/>
                <w:sz w:val="16"/>
              </w:rPr>
              <w:t>可穿戴+应激归因</w:t>
            </w:r>
          </w:p>
        </w:tc>
        <w:tc>
          <w:tcPr>
            <w:tcW w:w="1881" w:type="dxa"/>
          </w:tcPr>
          <w:p w14:paraId="3052DB53">
            <w:pPr>
              <w:spacing w:after="0"/>
            </w:pPr>
            <w:r>
              <w:rPr>
                <w:rFonts w:ascii="微软雅黑" w:hAnsi="微软雅黑" w:eastAsia="微软雅黑"/>
                <w:sz w:val="16"/>
              </w:rPr>
              <w:t>[15,16]</w:t>
            </w:r>
          </w:p>
        </w:tc>
      </w:tr>
      <w:tr w14:paraId="1866E35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881" w:type="dxa"/>
          </w:tcPr>
          <w:p w14:paraId="1C96AE8F">
            <w:pPr>
              <w:spacing w:after="0"/>
            </w:pPr>
            <w:r>
              <w:rPr>
                <w:rFonts w:ascii="微软雅黑" w:hAnsi="微软雅黑" w:eastAsia="微软雅黑"/>
                <w:sz w:val="16"/>
              </w:rPr>
              <w:t>身心健康</w:t>
            </w:r>
          </w:p>
        </w:tc>
        <w:tc>
          <w:tcPr>
            <w:tcW w:w="1881" w:type="dxa"/>
          </w:tcPr>
          <w:p w14:paraId="710558A7">
            <w:pPr>
              <w:spacing w:after="0"/>
            </w:pPr>
            <w:r>
              <w:rPr>
                <w:rFonts w:ascii="微软雅黑" w:hAnsi="微软雅黑" w:eastAsia="微软雅黑"/>
                <w:sz w:val="16"/>
              </w:rPr>
              <w:t>可穿戴可行性</w:t>
            </w:r>
          </w:p>
        </w:tc>
        <w:tc>
          <w:tcPr>
            <w:tcW w:w="1881" w:type="dxa"/>
          </w:tcPr>
          <w:p w14:paraId="01C03075">
            <w:pPr>
              <w:spacing w:after="0"/>
            </w:pPr>
            <w:r>
              <w:rPr>
                <w:rFonts w:ascii="微软雅黑" w:hAnsi="微软雅黑" w:eastAsia="微软雅黑"/>
                <w:sz w:val="16"/>
              </w:rPr>
              <w:t>HRV共时效度确认；SVM/CNN分类有效</w:t>
            </w:r>
          </w:p>
        </w:tc>
        <w:tc>
          <w:tcPr>
            <w:tcW w:w="1881" w:type="dxa"/>
          </w:tcPr>
          <w:p w14:paraId="63314D87">
            <w:pPr>
              <w:spacing w:after="0"/>
            </w:pPr>
            <w:r>
              <w:rPr>
                <w:rFonts w:ascii="微软雅黑" w:hAnsi="微软雅黑" w:eastAsia="微软雅黑"/>
                <w:sz w:val="16"/>
              </w:rPr>
              <w:t>生理监测模块</w:t>
            </w:r>
          </w:p>
        </w:tc>
        <w:tc>
          <w:tcPr>
            <w:tcW w:w="1881" w:type="dxa"/>
          </w:tcPr>
          <w:p w14:paraId="7D585F3D">
            <w:pPr>
              <w:spacing w:after="0"/>
            </w:pPr>
            <w:r>
              <w:rPr>
                <w:rFonts w:ascii="微软雅黑" w:hAnsi="微软雅黑" w:eastAsia="微软雅黑"/>
                <w:sz w:val="16"/>
              </w:rPr>
              <w:t>[17-22]</w:t>
            </w:r>
          </w:p>
        </w:tc>
      </w:tr>
      <w:tr w14:paraId="39493AD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881" w:type="dxa"/>
          </w:tcPr>
          <w:p w14:paraId="3C9C1BC0">
            <w:pPr>
              <w:spacing w:after="0"/>
            </w:pPr>
            <w:r>
              <w:rPr>
                <w:rFonts w:ascii="微软雅黑" w:hAnsi="微软雅黑" w:eastAsia="微软雅黑"/>
                <w:sz w:val="16"/>
              </w:rPr>
              <w:t>家庭因素</w:t>
            </w:r>
          </w:p>
        </w:tc>
        <w:tc>
          <w:tcPr>
            <w:tcW w:w="1881" w:type="dxa"/>
          </w:tcPr>
          <w:p w14:paraId="57430796">
            <w:pPr>
              <w:spacing w:after="0"/>
            </w:pPr>
            <w:r>
              <w:rPr>
                <w:rFonts w:ascii="微软雅黑" w:hAnsi="微软雅黑" w:eastAsia="微软雅黑"/>
                <w:sz w:val="16"/>
              </w:rPr>
              <w:t>SES与代际传递</w:t>
            </w:r>
          </w:p>
        </w:tc>
        <w:tc>
          <w:tcPr>
            <w:tcW w:w="1881" w:type="dxa"/>
          </w:tcPr>
          <w:p w14:paraId="1CA96BAE">
            <w:pPr>
              <w:spacing w:after="0"/>
            </w:pPr>
            <w:r>
              <w:rPr>
                <w:rFonts w:ascii="微软雅黑" w:hAnsi="微软雅黑" w:eastAsia="微软雅黑"/>
                <w:sz w:val="16"/>
              </w:rPr>
              <w:t>心理资本完全中介；间接影响大于直接</w:t>
            </w:r>
          </w:p>
        </w:tc>
        <w:tc>
          <w:tcPr>
            <w:tcW w:w="1881" w:type="dxa"/>
          </w:tcPr>
          <w:p w14:paraId="720FEA5D">
            <w:pPr>
              <w:spacing w:after="0"/>
            </w:pPr>
            <w:r>
              <w:rPr>
                <w:rFonts w:ascii="微软雅黑" w:hAnsi="微软雅黑" w:eastAsia="微软雅黑"/>
                <w:sz w:val="16"/>
              </w:rPr>
              <w:t>家庭约束多维建模</w:t>
            </w:r>
          </w:p>
        </w:tc>
        <w:tc>
          <w:tcPr>
            <w:tcW w:w="1881" w:type="dxa"/>
          </w:tcPr>
          <w:p w14:paraId="00DF72E4">
            <w:pPr>
              <w:spacing w:after="0"/>
            </w:pPr>
            <w:r>
              <w:rPr>
                <w:rFonts w:ascii="微软雅黑" w:hAnsi="微软雅黑" w:eastAsia="微软雅黑"/>
                <w:sz w:val="16"/>
              </w:rPr>
              <w:t>[23-26,28,29]</w:t>
            </w:r>
          </w:p>
        </w:tc>
      </w:tr>
      <w:tr w14:paraId="372B806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881" w:type="dxa"/>
          </w:tcPr>
          <w:p w14:paraId="717AA659">
            <w:pPr>
              <w:spacing w:after="0"/>
            </w:pPr>
            <w:r>
              <w:rPr>
                <w:rFonts w:ascii="微软雅黑" w:hAnsi="微软雅黑" w:eastAsia="微软雅黑"/>
                <w:sz w:val="16"/>
              </w:rPr>
              <w:t>家庭因素</w:t>
            </w:r>
          </w:p>
        </w:tc>
        <w:tc>
          <w:tcPr>
            <w:tcW w:w="1881" w:type="dxa"/>
          </w:tcPr>
          <w:p w14:paraId="6A389A5A">
            <w:pPr>
              <w:spacing w:after="0"/>
            </w:pPr>
            <w:r>
              <w:rPr>
                <w:rFonts w:ascii="微软雅黑" w:hAnsi="微软雅黑" w:eastAsia="微软雅黑"/>
                <w:sz w:val="16"/>
              </w:rPr>
              <w:t>家庭功能动态</w:t>
            </w:r>
          </w:p>
        </w:tc>
        <w:tc>
          <w:tcPr>
            <w:tcW w:w="1881" w:type="dxa"/>
          </w:tcPr>
          <w:p w14:paraId="524AC57D">
            <w:pPr>
              <w:spacing w:after="0"/>
            </w:pPr>
            <w:r>
              <w:rPr>
                <w:rFonts w:ascii="微软雅黑" w:hAnsi="微软雅黑" w:eastAsia="微软雅黑"/>
                <w:sz w:val="16"/>
              </w:rPr>
              <w:t>静态SES+动态支持质量共同作用</w:t>
            </w:r>
          </w:p>
        </w:tc>
        <w:tc>
          <w:tcPr>
            <w:tcW w:w="1881" w:type="dxa"/>
          </w:tcPr>
          <w:p w14:paraId="5E26B061">
            <w:pPr>
              <w:spacing w:after="0"/>
            </w:pPr>
            <w:r>
              <w:rPr>
                <w:rFonts w:ascii="微软雅黑" w:hAnsi="微软雅黑" w:eastAsia="微软雅黑"/>
                <w:sz w:val="16"/>
              </w:rPr>
              <w:t>家庭支持质量评估</w:t>
            </w:r>
          </w:p>
        </w:tc>
        <w:tc>
          <w:tcPr>
            <w:tcW w:w="1881" w:type="dxa"/>
          </w:tcPr>
          <w:p w14:paraId="3E50193C">
            <w:pPr>
              <w:spacing w:after="0"/>
            </w:pPr>
            <w:r>
              <w:rPr>
                <w:rFonts w:ascii="微软雅黑" w:hAnsi="微软雅黑" w:eastAsia="微软雅黑"/>
                <w:sz w:val="16"/>
              </w:rPr>
              <w:t>[32,33]</w:t>
            </w:r>
          </w:p>
        </w:tc>
      </w:tr>
      <w:tr w14:paraId="4D76CFC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881" w:type="dxa"/>
          </w:tcPr>
          <w:p w14:paraId="3685F654">
            <w:pPr>
              <w:spacing w:after="0"/>
            </w:pPr>
            <w:r>
              <w:rPr>
                <w:rFonts w:ascii="微软雅黑" w:hAnsi="微软雅黑" w:eastAsia="微软雅黑"/>
                <w:sz w:val="16"/>
              </w:rPr>
              <w:t>家庭因素</w:t>
            </w:r>
          </w:p>
        </w:tc>
        <w:tc>
          <w:tcPr>
            <w:tcW w:w="1881" w:type="dxa"/>
          </w:tcPr>
          <w:p w14:paraId="4C14645F">
            <w:pPr>
              <w:spacing w:after="0"/>
            </w:pPr>
            <w:r>
              <w:rPr>
                <w:rFonts w:ascii="微软雅黑" w:hAnsi="微软雅黑" w:eastAsia="微软雅黑"/>
                <w:sz w:val="16"/>
              </w:rPr>
              <w:t>父母期望效应</w:t>
            </w:r>
          </w:p>
        </w:tc>
        <w:tc>
          <w:tcPr>
            <w:tcW w:w="1881" w:type="dxa"/>
          </w:tcPr>
          <w:p w14:paraId="1A1AD1DC">
            <w:pPr>
              <w:spacing w:after="0"/>
            </w:pPr>
            <w:r>
              <w:rPr>
                <w:rFonts w:ascii="微软雅黑" w:hAnsi="微软雅黑" w:eastAsia="微软雅黑"/>
                <w:sz w:val="16"/>
              </w:rPr>
              <w:t>直接指令无效；期望类型+性别交互；倒U型</w:t>
            </w:r>
          </w:p>
        </w:tc>
        <w:tc>
          <w:tcPr>
            <w:tcW w:w="1881" w:type="dxa"/>
          </w:tcPr>
          <w:p w14:paraId="62D936B1">
            <w:pPr>
              <w:spacing w:after="0"/>
            </w:pPr>
            <w:r>
              <w:rPr>
                <w:rFonts w:ascii="微软雅黑" w:hAnsi="微软雅黑" w:eastAsia="微软雅黑"/>
                <w:sz w:val="16"/>
              </w:rPr>
              <w:t>自主防火墙机制</w:t>
            </w:r>
          </w:p>
        </w:tc>
        <w:tc>
          <w:tcPr>
            <w:tcW w:w="1881" w:type="dxa"/>
          </w:tcPr>
          <w:p w14:paraId="730B745D">
            <w:pPr>
              <w:spacing w:after="0"/>
            </w:pPr>
            <w:r>
              <w:rPr>
                <w:rFonts w:ascii="微软雅黑" w:hAnsi="微软雅黑" w:eastAsia="微软雅黑"/>
                <w:sz w:val="16"/>
              </w:rPr>
              <w:t>[34-37]</w:t>
            </w:r>
          </w:p>
        </w:tc>
      </w:tr>
      <w:tr w14:paraId="0AF1992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881" w:type="dxa"/>
          </w:tcPr>
          <w:p w14:paraId="2B1E40E7">
            <w:pPr>
              <w:spacing w:after="0"/>
            </w:pPr>
            <w:r>
              <w:rPr>
                <w:rFonts w:ascii="微软雅黑" w:hAnsi="微软雅黑" w:eastAsia="微软雅黑"/>
                <w:sz w:val="16"/>
              </w:rPr>
              <w:t>自主性</w:t>
            </w:r>
          </w:p>
        </w:tc>
        <w:tc>
          <w:tcPr>
            <w:tcW w:w="1881" w:type="dxa"/>
          </w:tcPr>
          <w:p w14:paraId="62FD7196">
            <w:pPr>
              <w:spacing w:after="0"/>
            </w:pPr>
            <w:r>
              <w:rPr>
                <w:rFonts w:ascii="微软雅黑" w:hAnsi="微软雅黑" w:eastAsia="微软雅黑"/>
                <w:sz w:val="16"/>
              </w:rPr>
              <w:t>CDMSE</w:t>
            </w:r>
          </w:p>
        </w:tc>
        <w:tc>
          <w:tcPr>
            <w:tcW w:w="1881" w:type="dxa"/>
          </w:tcPr>
          <w:p w14:paraId="4CBC4068">
            <w:pPr>
              <w:spacing w:after="0"/>
            </w:pPr>
            <w:r>
              <w:rPr>
                <w:rFonts w:ascii="微软雅黑" w:hAnsi="微软雅黑" w:eastAsia="微软雅黑"/>
                <w:sz w:val="16"/>
              </w:rPr>
              <w:t>目标选择的先决地位；元分析确证</w:t>
            </w:r>
          </w:p>
        </w:tc>
        <w:tc>
          <w:tcPr>
            <w:tcW w:w="1881" w:type="dxa"/>
          </w:tcPr>
          <w:p w14:paraId="76FF0D3C">
            <w:pPr>
              <w:spacing w:after="0"/>
            </w:pPr>
            <w:r>
              <w:rPr>
                <w:rFonts w:ascii="微软雅黑" w:hAnsi="微软雅黑" w:eastAsia="微软雅黑"/>
                <w:sz w:val="16"/>
              </w:rPr>
              <w:t>Step0不可替代性</w:t>
            </w:r>
          </w:p>
        </w:tc>
        <w:tc>
          <w:tcPr>
            <w:tcW w:w="1881" w:type="dxa"/>
          </w:tcPr>
          <w:p w14:paraId="7EEF8285">
            <w:pPr>
              <w:spacing w:after="0"/>
            </w:pPr>
            <w:r>
              <w:rPr>
                <w:rFonts w:ascii="微软雅黑" w:hAnsi="微软雅黑" w:eastAsia="微软雅黑"/>
                <w:sz w:val="16"/>
              </w:rPr>
              <w:t>[38-41]</w:t>
            </w:r>
          </w:p>
        </w:tc>
      </w:tr>
      <w:tr w14:paraId="582B370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881" w:type="dxa"/>
          </w:tcPr>
          <w:p w14:paraId="372CD45F">
            <w:pPr>
              <w:spacing w:after="0"/>
            </w:pPr>
            <w:r>
              <w:rPr>
                <w:rFonts w:ascii="微软雅黑" w:hAnsi="微软雅黑" w:eastAsia="微软雅黑"/>
                <w:sz w:val="16"/>
              </w:rPr>
              <w:t>自主性</w:t>
            </w:r>
          </w:p>
        </w:tc>
        <w:tc>
          <w:tcPr>
            <w:tcW w:w="1881" w:type="dxa"/>
          </w:tcPr>
          <w:p w14:paraId="79074B60">
            <w:pPr>
              <w:spacing w:after="0"/>
            </w:pPr>
            <w:r>
              <w:rPr>
                <w:rFonts w:ascii="微软雅黑" w:hAnsi="微软雅黑" w:eastAsia="微软雅黑"/>
                <w:sz w:val="16"/>
              </w:rPr>
              <w:t>小镇做题家</w:t>
            </w:r>
          </w:p>
        </w:tc>
        <w:tc>
          <w:tcPr>
            <w:tcW w:w="1881" w:type="dxa"/>
          </w:tcPr>
          <w:p w14:paraId="5421C1A5">
            <w:pPr>
              <w:spacing w:after="0"/>
            </w:pPr>
            <w:r>
              <w:rPr>
                <w:rFonts w:ascii="微软雅黑" w:hAnsi="微软雅黑" w:eastAsia="微软雅黑"/>
                <w:sz w:val="16"/>
              </w:rPr>
              <w:t>目标掌控vs直觉依赖；两个亚型</w:t>
            </w:r>
          </w:p>
        </w:tc>
        <w:tc>
          <w:tcPr>
            <w:tcW w:w="1881" w:type="dxa"/>
          </w:tcPr>
          <w:p w14:paraId="339F3F5D">
            <w:pPr>
              <w:spacing w:after="0"/>
            </w:pPr>
            <w:r>
              <w:rPr>
                <w:rFonts w:ascii="微软雅黑" w:hAnsi="微软雅黑" w:eastAsia="微软雅黑"/>
                <w:sz w:val="16"/>
              </w:rPr>
              <w:t>案例参照引擎</w:t>
            </w:r>
          </w:p>
        </w:tc>
        <w:tc>
          <w:tcPr>
            <w:tcW w:w="1881" w:type="dxa"/>
          </w:tcPr>
          <w:p w14:paraId="2D520813">
            <w:pPr>
              <w:spacing w:after="0"/>
            </w:pPr>
            <w:r>
              <w:rPr>
                <w:rFonts w:ascii="微软雅黑" w:hAnsi="微软雅黑" w:eastAsia="微软雅黑"/>
                <w:sz w:val="16"/>
              </w:rPr>
              <w:t>[42-44]</w:t>
            </w:r>
          </w:p>
        </w:tc>
      </w:tr>
      <w:tr w14:paraId="58E4309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881" w:type="dxa"/>
          </w:tcPr>
          <w:p w14:paraId="4FAD6A9D">
            <w:pPr>
              <w:spacing w:after="0"/>
            </w:pPr>
            <w:r>
              <w:rPr>
                <w:rFonts w:ascii="微软雅黑" w:hAnsi="微软雅黑" w:eastAsia="微软雅黑"/>
                <w:sz w:val="16"/>
              </w:rPr>
              <w:t>综合</w:t>
            </w:r>
          </w:p>
        </w:tc>
        <w:tc>
          <w:tcPr>
            <w:tcW w:w="1881" w:type="dxa"/>
          </w:tcPr>
          <w:p w14:paraId="1E2744FE">
            <w:pPr>
              <w:spacing w:after="0"/>
            </w:pPr>
            <w:r>
              <w:rPr>
                <w:rFonts w:ascii="微软雅黑" w:hAnsi="微软雅黑" w:eastAsia="微软雅黑"/>
                <w:sz w:val="16"/>
              </w:rPr>
              <w:t>后致性因素</w:t>
            </w:r>
          </w:p>
        </w:tc>
        <w:tc>
          <w:tcPr>
            <w:tcW w:w="1881" w:type="dxa"/>
          </w:tcPr>
          <w:p w14:paraId="30409D15">
            <w:pPr>
              <w:spacing w:after="0"/>
            </w:pPr>
            <w:r>
              <w:rPr>
                <w:rFonts w:ascii="微软雅黑" w:hAnsi="微软雅黑" w:eastAsia="微软雅黑"/>
                <w:sz w:val="16"/>
              </w:rPr>
              <w:t>个人努力效应大于家庭背景效应</w:t>
            </w:r>
          </w:p>
        </w:tc>
        <w:tc>
          <w:tcPr>
            <w:tcW w:w="1881" w:type="dxa"/>
          </w:tcPr>
          <w:p w14:paraId="399E41C6">
            <w:pPr>
              <w:spacing w:after="0"/>
            </w:pPr>
            <w:r>
              <w:rPr>
                <w:rFonts w:ascii="微软雅黑" w:hAnsi="微软雅黑" w:eastAsia="微软雅黑"/>
                <w:sz w:val="16"/>
              </w:rPr>
              <w:t>差异化补偿设计</w:t>
            </w:r>
          </w:p>
        </w:tc>
        <w:tc>
          <w:tcPr>
            <w:tcW w:w="1881" w:type="dxa"/>
          </w:tcPr>
          <w:p w14:paraId="40E4D551">
            <w:pPr>
              <w:spacing w:after="0"/>
            </w:pPr>
            <w:r>
              <w:rPr>
                <w:rFonts w:ascii="微软雅黑" w:hAnsi="微软雅黑" w:eastAsia="微软雅黑"/>
                <w:sz w:val="16"/>
              </w:rPr>
              <w:t>[31]</w:t>
            </w:r>
          </w:p>
        </w:tc>
      </w:tr>
    </w:tbl>
    <w:p w14:paraId="1A316E58"/>
    <w:p w14:paraId="200AA087">
      <w:pPr>
        <w:spacing w:after="160" w:line="360" w:lineRule="exact"/>
      </w:pPr>
    </w:p>
    <w:p w14:paraId="2CFA4DFC">
      <w:pPr>
        <w:spacing w:after="80" w:line="360" w:lineRule="exact"/>
      </w:pPr>
      <w:r>
        <w:rPr>
          <w:rFonts w:ascii="微软雅黑" w:hAnsi="微软雅黑" w:eastAsia="微软雅黑"/>
          <w:b/>
          <w:sz w:val="21"/>
        </w:rPr>
        <w:t>综上，产品"目的先行 - 客观约束 - 案例参照 - 任务生成"的四阶段架构不是经验直觉，而是基于SDT（自主性启动）、CCT（生涯适应力建构）、SCCT（认知-行为闭环）、家庭资本理论（结构性约束去蔽）和文化再生产理论（隐性规则显性化）的学术综合设计。</w:t>
      </w:r>
    </w:p>
    <w:p w14:paraId="10EA0CB4">
      <w:pPr>
        <w:pStyle w:val="3"/>
      </w:pPr>
      <w:r>
        <w:rPr>
          <w:rFonts w:ascii="微软雅黑" w:hAnsi="微软雅黑" w:eastAsia="微软雅黑"/>
        </w:rPr>
        <w:t>八、参考文献清单</w:t>
      </w:r>
    </w:p>
    <w:p w14:paraId="146D0D34">
      <w:pPr>
        <w:spacing w:after="20" w:line="360" w:lineRule="exact"/>
      </w:pPr>
      <w:r>
        <w:rPr>
          <w:rFonts w:ascii="微软雅黑" w:hAnsi="微软雅黑" w:eastAsia="微软雅黑"/>
          <w:b w:val="0"/>
          <w:color w:val="8E94A8"/>
          <w:sz w:val="18"/>
        </w:rPr>
        <w:t>[01] Ryan, R.M. &amp; Deci, E.L. (2017). Self-determination theory. Guilford Press.</w:t>
      </w:r>
    </w:p>
    <w:p w14:paraId="6D8C910F">
      <w:pPr>
        <w:spacing w:after="20" w:line="360" w:lineRule="exact"/>
      </w:pPr>
      <w:r>
        <w:rPr>
          <w:rFonts w:ascii="微软雅黑" w:hAnsi="微软雅黑" w:eastAsia="微软雅黑"/>
          <w:b w:val="0"/>
          <w:color w:val="8E94A8"/>
          <w:sz w:val="18"/>
        </w:rPr>
        <w:t>[02] Savickas, M.L. (2005). The theory and practice of career construction. In Brown &amp; Lent (Eds.), Career development and counseling. Wiley.</w:t>
      </w:r>
    </w:p>
    <w:p w14:paraId="757707A3">
      <w:pPr>
        <w:spacing w:after="20" w:line="360" w:lineRule="exact"/>
      </w:pPr>
      <w:r>
        <w:rPr>
          <w:rFonts w:ascii="微软雅黑" w:hAnsi="微软雅黑" w:eastAsia="微软雅黑"/>
          <w:b w:val="0"/>
          <w:color w:val="8E94A8"/>
          <w:sz w:val="18"/>
        </w:rPr>
        <w:t>[03] Lent, R.W., Brown, S.D. &amp; Hackett, G. (1994). Toward a unifying social cognitive theory of career and academic interest. J Vocational Behavior, 45(1), 79-122.</w:t>
      </w:r>
    </w:p>
    <w:p w14:paraId="71091F24">
      <w:pPr>
        <w:spacing w:after="20" w:line="360" w:lineRule="exact"/>
      </w:pPr>
      <w:r>
        <w:rPr>
          <w:rFonts w:ascii="微软雅黑" w:hAnsi="微软雅黑" w:eastAsia="微软雅黑"/>
          <w:b w:val="0"/>
          <w:color w:val="8E94A8"/>
          <w:sz w:val="18"/>
        </w:rPr>
        <w:t>[04] Cahyasari, A.C. (2024). Self-determination influence on career decision-making. Universitas Muhammadiyah Malang.</w:t>
      </w:r>
    </w:p>
    <w:p w14:paraId="408015C5">
      <w:pPr>
        <w:spacing w:after="20" w:line="360" w:lineRule="exact"/>
      </w:pPr>
      <w:r>
        <w:rPr>
          <w:rFonts w:ascii="微软雅黑" w:hAnsi="微软雅黑" w:eastAsia="微软雅黑"/>
          <w:b w:val="0"/>
          <w:color w:val="8E94A8"/>
          <w:sz w:val="18"/>
        </w:rPr>
        <w:t>[05] Lu, L., Gao, X. &amp; Xiao, Y. (2024). Impact of perceived teacher support on career exploration. Innovations in Education and Teaching Intl, 61(3), 528-540.</w:t>
      </w:r>
    </w:p>
    <w:p w14:paraId="46A64BBE">
      <w:pPr>
        <w:spacing w:after="20" w:line="360" w:lineRule="exact"/>
      </w:pPr>
      <w:r>
        <w:rPr>
          <w:rFonts w:ascii="微软雅黑" w:hAnsi="微软雅黑" w:eastAsia="微软雅黑"/>
          <w:b w:val="0"/>
          <w:color w:val="8E94A8"/>
          <w:sz w:val="18"/>
        </w:rPr>
        <w:t>[06] Savickas, M.L. &amp; Porfeli, E.J. (2012). Career Adapt-Abilities Scale. J Vocational Behavior, 80(3), 661-673.</w:t>
      </w:r>
    </w:p>
    <w:p w14:paraId="6355FC3C">
      <w:pPr>
        <w:spacing w:after="20" w:line="360" w:lineRule="exact"/>
      </w:pPr>
      <w:r>
        <w:rPr>
          <w:rFonts w:ascii="微软雅黑" w:hAnsi="微软雅黑" w:eastAsia="微软雅黑"/>
          <w:b w:val="0"/>
          <w:color w:val="8E94A8"/>
          <w:sz w:val="18"/>
        </w:rPr>
        <w:t>[07] Predictors of Career Adaptability among Chinese Higher Education Students. (2025). IJLTER.</w:t>
      </w:r>
    </w:p>
    <w:p w14:paraId="09A0D7BE">
      <w:pPr>
        <w:spacing w:after="20" w:line="360" w:lineRule="exact"/>
      </w:pPr>
      <w:r>
        <w:rPr>
          <w:rFonts w:ascii="微软雅黑" w:hAnsi="微软雅黑" w:eastAsia="微软雅黑"/>
          <w:b w:val="0"/>
          <w:color w:val="8E94A8"/>
          <w:sz w:val="18"/>
        </w:rPr>
        <w:t>[08] Gao, L., Li, Y. &amp; Pang, W. (2025). Career adaptability and graduates mental health. BMC Psychology, 13(1), 158.</w:t>
      </w:r>
    </w:p>
    <w:p w14:paraId="62E18A0A">
      <w:pPr>
        <w:spacing w:after="20" w:line="360" w:lineRule="exact"/>
      </w:pPr>
      <w:r>
        <w:rPr>
          <w:rFonts w:ascii="微软雅黑" w:hAnsi="微软雅黑" w:eastAsia="微软雅黑"/>
          <w:b w:val="0"/>
          <w:color w:val="8E94A8"/>
          <w:sz w:val="18"/>
        </w:rPr>
        <w:t>[09] 社会认知职业理论视域下社会工作专业本科生职业选择机制探讨. 社会工作与管理, 2024(01).</w:t>
      </w:r>
    </w:p>
    <w:p w14:paraId="61A03308">
      <w:pPr>
        <w:spacing w:after="20" w:line="360" w:lineRule="exact"/>
      </w:pPr>
      <w:r>
        <w:rPr>
          <w:rFonts w:ascii="微软雅黑" w:hAnsi="微软雅黑" w:eastAsia="微软雅黑"/>
          <w:b w:val="0"/>
          <w:color w:val="8E94A8"/>
          <w:sz w:val="18"/>
        </w:rPr>
        <w:t>[10] 基于社会认知职业理论的新时期高校毕业生就业心态与求职行为调查. 中国大学生就业, 2024(03).</w:t>
      </w:r>
    </w:p>
    <w:p w14:paraId="4873607C">
      <w:pPr>
        <w:spacing w:after="20" w:line="360" w:lineRule="exact"/>
      </w:pPr>
      <w:r>
        <w:rPr>
          <w:rFonts w:ascii="微软雅黑" w:hAnsi="微软雅黑" w:eastAsia="微软雅黑"/>
          <w:b w:val="0"/>
          <w:color w:val="8E94A8"/>
          <w:sz w:val="18"/>
        </w:rPr>
        <w:t>[11] 高职生职业决策自我效能感与心理健康状况的相关性实证研究. 教育理论与实践, 2010(12).</w:t>
      </w:r>
    </w:p>
    <w:p w14:paraId="1E3EE991">
      <w:pPr>
        <w:spacing w:after="20" w:line="360" w:lineRule="exact"/>
      </w:pPr>
      <w:r>
        <w:rPr>
          <w:rFonts w:ascii="微软雅黑" w:hAnsi="微软雅黑" w:eastAsia="微软雅黑"/>
          <w:b w:val="0"/>
          <w:color w:val="8E94A8"/>
          <w:sz w:val="18"/>
        </w:rPr>
        <w:t>[12] 大学生自尊对职业决策困难的影响：链式中介效应. 高校辅导员学刊, 2023(06).</w:t>
      </w:r>
    </w:p>
    <w:p w14:paraId="0B6FF18B">
      <w:pPr>
        <w:spacing w:after="20" w:line="360" w:lineRule="exact"/>
      </w:pPr>
      <w:r>
        <w:rPr>
          <w:rFonts w:ascii="微软雅黑" w:hAnsi="微软雅黑" w:eastAsia="微软雅黑"/>
          <w:b w:val="0"/>
          <w:color w:val="8E94A8"/>
          <w:sz w:val="18"/>
        </w:rPr>
        <w:t>[13] 大学生就业压力及影响因素分析. 中国大学生就业, 2022(14).</w:t>
      </w:r>
    </w:p>
    <w:p w14:paraId="0DDC3CF0">
      <w:pPr>
        <w:spacing w:after="20" w:line="360" w:lineRule="exact"/>
      </w:pPr>
      <w:r>
        <w:rPr>
          <w:rFonts w:ascii="微软雅黑" w:hAnsi="微软雅黑" w:eastAsia="微软雅黑"/>
          <w:b w:val="0"/>
          <w:color w:val="8E94A8"/>
          <w:sz w:val="18"/>
        </w:rPr>
        <w:t>[14] 大学生积极心理品质与可就业能力关系研究. 中国健康心理学杂志, 2023.</w:t>
      </w:r>
    </w:p>
    <w:p w14:paraId="7FF6942D">
      <w:pPr>
        <w:spacing w:after="20" w:line="360" w:lineRule="exact"/>
      </w:pPr>
      <w:r>
        <w:rPr>
          <w:rFonts w:ascii="微软雅黑" w:hAnsi="微软雅黑" w:eastAsia="微软雅黑"/>
          <w:b w:val="0"/>
          <w:color w:val="8E94A8"/>
          <w:sz w:val="18"/>
        </w:rPr>
        <w:t>[15] 弓运泽. 基于全国2929份问卷的大学生职业决策能力影响因素研究.</w:t>
      </w:r>
    </w:p>
    <w:p w14:paraId="1ACBD85B">
      <w:pPr>
        <w:spacing w:after="20" w:line="360" w:lineRule="exact"/>
      </w:pPr>
      <w:r>
        <w:rPr>
          <w:rFonts w:ascii="微软雅黑" w:hAnsi="微软雅黑" w:eastAsia="微软雅黑"/>
          <w:b w:val="0"/>
          <w:color w:val="8E94A8"/>
          <w:sz w:val="18"/>
        </w:rPr>
        <w:t>[16] Benitez-Agudelo, J.C. et al. (2025). Longitudinal effects of stress in academic context. BMC Psychology, 13, 03041.</w:t>
      </w:r>
    </w:p>
    <w:p w14:paraId="3FC18001">
      <w:pPr>
        <w:spacing w:after="20" w:line="360" w:lineRule="exact"/>
      </w:pPr>
      <w:r>
        <w:rPr>
          <w:rFonts w:ascii="微软雅黑" w:hAnsi="微软雅黑" w:eastAsia="微软雅黑"/>
          <w:b w:val="0"/>
          <w:color w:val="8E94A8"/>
          <w:sz w:val="18"/>
        </w:rPr>
        <w:t>[17] Kim, H.J., Park, Y. &amp; Lee, J. (2024). The validity of HRV in educational research. Educational Psychology Review, 36.</w:t>
      </w:r>
    </w:p>
    <w:p w14:paraId="13D3EEF8">
      <w:pPr>
        <w:spacing w:after="20" w:line="360" w:lineRule="exact"/>
      </w:pPr>
      <w:r>
        <w:rPr>
          <w:rFonts w:ascii="微软雅黑" w:hAnsi="微软雅黑" w:eastAsia="微软雅黑"/>
          <w:b w:val="0"/>
          <w:color w:val="8E94A8"/>
          <w:sz w:val="18"/>
        </w:rPr>
        <w:t>[18] Bloomfield, L.S.P. et al. (2024). Predicting stress using sleep data from wearables. PLoS ONE, 19(4): e0299795.</w:t>
      </w:r>
    </w:p>
    <w:p w14:paraId="797A80A1">
      <w:pPr>
        <w:spacing w:after="20" w:line="360" w:lineRule="exact"/>
      </w:pPr>
      <w:r>
        <w:rPr>
          <w:rFonts w:ascii="微软雅黑" w:hAnsi="微软雅黑" w:eastAsia="微软雅黑"/>
          <w:b w:val="0"/>
          <w:color w:val="8E94A8"/>
          <w:sz w:val="18"/>
        </w:rPr>
        <w:t>[19] Al-Hamad, A. et al. (2024). Performance of wearable AI in detecting stress. J Med Internet Res, 26: e52622.</w:t>
      </w:r>
    </w:p>
    <w:p w14:paraId="064727D0">
      <w:pPr>
        <w:spacing w:after="20" w:line="360" w:lineRule="exact"/>
      </w:pPr>
      <w:r>
        <w:rPr>
          <w:rFonts w:ascii="微软雅黑" w:hAnsi="微软雅黑" w:eastAsia="微软雅黑"/>
          <w:b w:val="0"/>
          <w:color w:val="8E94A8"/>
          <w:sz w:val="18"/>
        </w:rPr>
        <w:t>[20] Unobtrusive stress detection using wearables in university setting. (2025). Front Comput Sci, 7.</w:t>
      </w:r>
    </w:p>
    <w:p w14:paraId="01AD9F1A">
      <w:pPr>
        <w:spacing w:after="20" w:line="360" w:lineRule="exact"/>
      </w:pPr>
      <w:r>
        <w:rPr>
          <w:rFonts w:ascii="微软雅黑" w:hAnsi="微软雅黑" w:eastAsia="微软雅黑"/>
          <w:b w:val="0"/>
          <w:color w:val="8E94A8"/>
          <w:sz w:val="18"/>
        </w:rPr>
        <w:t>[21] Laborde, S. et al. (2017). HRV in psychophysiological research. Frontiers in Psychology, 8: 213.</w:t>
      </w:r>
    </w:p>
    <w:p w14:paraId="362979DD">
      <w:pPr>
        <w:spacing w:after="20" w:line="360" w:lineRule="exact"/>
      </w:pPr>
      <w:r>
        <w:rPr>
          <w:rFonts w:ascii="微软雅黑" w:hAnsi="微软雅黑" w:eastAsia="微软雅黑"/>
          <w:b w:val="0"/>
          <w:color w:val="8E94A8"/>
          <w:sz w:val="18"/>
        </w:rPr>
        <w:t>[22] Shaffer, F. &amp; Ginsberg, J.P. (2017). HRV metrics and norms. Frontiers in Public Health, 5: 258.</w:t>
      </w:r>
    </w:p>
    <w:p w14:paraId="5137FBB3">
      <w:pPr>
        <w:spacing w:after="20" w:line="360" w:lineRule="exact"/>
      </w:pPr>
      <w:r>
        <w:rPr>
          <w:rFonts w:ascii="微软雅黑" w:hAnsi="微软雅黑" w:eastAsia="微软雅黑"/>
          <w:b w:val="0"/>
          <w:color w:val="8E94A8"/>
          <w:sz w:val="18"/>
        </w:rPr>
        <w:t>[23] Fouad, N.A. &amp; Brown, M.T. (2000). Role of race and social class. In Brown &amp; Lent (Eds.), Handbook. Wiley.</w:t>
      </w:r>
    </w:p>
    <w:p w14:paraId="510AC191">
      <w:pPr>
        <w:spacing w:after="20" w:line="360" w:lineRule="exact"/>
      </w:pPr>
      <w:r>
        <w:rPr>
          <w:rFonts w:ascii="微软雅黑" w:hAnsi="微软雅黑" w:eastAsia="微软雅黑"/>
          <w:b w:val="0"/>
          <w:color w:val="8E94A8"/>
          <w:sz w:val="18"/>
        </w:rPr>
        <w:t>[24] 王昳玥, 周霞等. (2021). 家庭SES与大学生职业探索：心理资本的中介效应. 中国健康心理学杂志, 29(6).</w:t>
      </w:r>
    </w:p>
    <w:p w14:paraId="629198A9">
      <w:pPr>
        <w:spacing w:after="20" w:line="360" w:lineRule="exact"/>
      </w:pPr>
      <w:r>
        <w:rPr>
          <w:rFonts w:ascii="微软雅黑" w:hAnsi="微软雅黑" w:eastAsia="微软雅黑"/>
          <w:b w:val="0"/>
          <w:color w:val="8E94A8"/>
          <w:sz w:val="18"/>
        </w:rPr>
        <w:t>[25] 曲可佳, 邹泓. (2013). 家庭SES、父母教养行为与大学生职业生涯探索. 心理发展与教育, 2013(5).</w:t>
      </w:r>
    </w:p>
    <w:p w14:paraId="16ED0DC6">
      <w:pPr>
        <w:spacing w:after="20" w:line="360" w:lineRule="exact"/>
      </w:pPr>
      <w:r>
        <w:rPr>
          <w:rFonts w:ascii="微软雅黑" w:hAnsi="微软雅黑" w:eastAsia="微软雅黑"/>
          <w:b w:val="0"/>
          <w:color w:val="8E94A8"/>
          <w:sz w:val="18"/>
        </w:rPr>
        <w:t>[26] 郝建, 胡永远. 家庭背景对大学生工作搜寻及就业的影响研究.</w:t>
      </w:r>
    </w:p>
    <w:p w14:paraId="23E2E90F">
      <w:pPr>
        <w:spacing w:after="20" w:line="360" w:lineRule="exact"/>
      </w:pPr>
      <w:r>
        <w:rPr>
          <w:rFonts w:ascii="微软雅黑" w:hAnsi="微软雅黑" w:eastAsia="微软雅黑"/>
          <w:b w:val="0"/>
          <w:color w:val="8E94A8"/>
          <w:sz w:val="18"/>
        </w:rPr>
        <w:t>[27] 家庭资本与大学生就业认知实证研究. 合作经济与科技, 2019(05).</w:t>
      </w:r>
    </w:p>
    <w:p w14:paraId="0BB1D5C3">
      <w:pPr>
        <w:spacing w:after="20" w:line="360" w:lineRule="exact"/>
      </w:pPr>
      <w:r>
        <w:rPr>
          <w:rFonts w:ascii="微软雅黑" w:hAnsi="微软雅黑" w:eastAsia="微软雅黑"/>
          <w:b w:val="0"/>
          <w:color w:val="8E94A8"/>
          <w:sz w:val="18"/>
        </w:rPr>
        <w:t>[28] Li, H. et al. (2012). Does having a cadre parent pay? J Development Economics, 99(2): 513-520.</w:t>
      </w:r>
    </w:p>
    <w:p w14:paraId="13456981">
      <w:pPr>
        <w:spacing w:after="20" w:line="360" w:lineRule="exact"/>
      </w:pPr>
      <w:r>
        <w:rPr>
          <w:rFonts w:ascii="微软雅黑" w:hAnsi="微软雅黑" w:eastAsia="微软雅黑"/>
          <w:b w:val="0"/>
          <w:color w:val="8E94A8"/>
          <w:sz w:val="18"/>
        </w:rPr>
        <w:t>[29] 边燕杰等. (2008). 影响高校大学生职业选择的因素分析. 社会, 2008(2).</w:t>
      </w:r>
    </w:p>
    <w:p w14:paraId="3D2EBDDC">
      <w:pPr>
        <w:spacing w:after="20" w:line="360" w:lineRule="exact"/>
      </w:pPr>
      <w:r>
        <w:rPr>
          <w:rFonts w:ascii="微软雅黑" w:hAnsi="微软雅黑" w:eastAsia="微软雅黑"/>
          <w:b w:val="0"/>
          <w:color w:val="8E94A8"/>
          <w:sz w:val="18"/>
        </w:rPr>
        <w:t>[30] 周宇香. (2020). 家庭因素对建档立卡贫困大学生就业发展的影响. 青年探索, 2020(3).</w:t>
      </w:r>
    </w:p>
    <w:p w14:paraId="13F26428">
      <w:pPr>
        <w:spacing w:after="20" w:line="360" w:lineRule="exact"/>
      </w:pPr>
      <w:r>
        <w:rPr>
          <w:rFonts w:ascii="微软雅黑" w:hAnsi="微软雅黑" w:eastAsia="微软雅黑"/>
          <w:b w:val="0"/>
          <w:color w:val="8E94A8"/>
          <w:sz w:val="18"/>
        </w:rPr>
        <w:t>[31] 刘保中等. (2021). 先赋还是后致：什么在影响大学生就业能力? 教育经济评论.</w:t>
      </w:r>
    </w:p>
    <w:p w14:paraId="624A5BE3">
      <w:pPr>
        <w:spacing w:after="20" w:line="360" w:lineRule="exact"/>
      </w:pPr>
      <w:r>
        <w:rPr>
          <w:rFonts w:ascii="微软雅黑" w:hAnsi="微软雅黑" w:eastAsia="微软雅黑"/>
          <w:b w:val="0"/>
          <w:color w:val="8E94A8"/>
          <w:sz w:val="18"/>
        </w:rPr>
        <w:t>[32] 刘天阳, 顾雪英. 家庭因素对大学生职业探索的影响研究.</w:t>
      </w:r>
    </w:p>
    <w:p w14:paraId="610B9F02">
      <w:pPr>
        <w:spacing w:after="20" w:line="360" w:lineRule="exact"/>
      </w:pPr>
      <w:r>
        <w:rPr>
          <w:rFonts w:ascii="微软雅黑" w:hAnsi="微软雅黑" w:eastAsia="微软雅黑"/>
          <w:b w:val="0"/>
          <w:color w:val="8E94A8"/>
          <w:sz w:val="18"/>
        </w:rPr>
        <w:t>[33] 家庭系统情境对职业决策自我效能感的影响研究. 北京青年研究, 2020(01).</w:t>
      </w:r>
    </w:p>
    <w:p w14:paraId="1749F365">
      <w:pPr>
        <w:spacing w:after="20" w:line="360" w:lineRule="exact"/>
      </w:pPr>
      <w:r>
        <w:rPr>
          <w:rFonts w:ascii="微软雅黑" w:hAnsi="微软雅黑" w:eastAsia="微软雅黑"/>
          <w:b w:val="0"/>
          <w:color w:val="8E94A8"/>
          <w:sz w:val="18"/>
        </w:rPr>
        <w:t>[34] Zhou, N. et al. (2023). Parental career expectation predicts adolescent career development. J Career Assessment, 32(1).</w:t>
      </w:r>
    </w:p>
    <w:p w14:paraId="5ABF59F9">
      <w:pPr>
        <w:spacing w:after="20" w:line="360" w:lineRule="exact"/>
      </w:pPr>
      <w:r>
        <w:rPr>
          <w:rFonts w:ascii="微软雅黑" w:hAnsi="微软雅黑" w:eastAsia="微软雅黑"/>
          <w:b w:val="0"/>
          <w:color w:val="8E94A8"/>
          <w:sz w:val="18"/>
        </w:rPr>
        <w:t>[35] Qi, Y. et al. (2024). How important are parental career expectations? J Youth and Adolescence, 53.</w:t>
      </w:r>
    </w:p>
    <w:p w14:paraId="78B96957">
      <w:pPr>
        <w:spacing w:after="20" w:line="360" w:lineRule="exact"/>
      </w:pPr>
      <w:r>
        <w:rPr>
          <w:rFonts w:ascii="微软雅黑" w:hAnsi="微软雅黑" w:eastAsia="微软雅黑"/>
          <w:b w:val="0"/>
          <w:color w:val="8E94A8"/>
          <w:sz w:val="18"/>
        </w:rPr>
        <w:t>[36] Zhu, J. et al. (2023). Parental career expectations and career indecisiveness across gender. J Career Development, 50(3).</w:t>
      </w:r>
    </w:p>
    <w:p w14:paraId="0315A924">
      <w:pPr>
        <w:spacing w:after="20" w:line="360" w:lineRule="exact"/>
      </w:pPr>
      <w:r>
        <w:rPr>
          <w:rFonts w:ascii="微软雅黑" w:hAnsi="微软雅黑" w:eastAsia="微软雅黑"/>
          <w:b w:val="0"/>
          <w:color w:val="8E94A8"/>
          <w:sz w:val="18"/>
        </w:rPr>
        <w:t>[37] Too-much-of-a-good-thing? Perceived parental career expectation. (2023). J Counseling Psychology, 70(5).</w:t>
      </w:r>
    </w:p>
    <w:p w14:paraId="35529A0E">
      <w:pPr>
        <w:spacing w:after="20" w:line="360" w:lineRule="exact"/>
      </w:pPr>
      <w:r>
        <w:rPr>
          <w:rFonts w:ascii="微软雅黑" w:hAnsi="微软雅黑" w:eastAsia="微软雅黑"/>
          <w:b w:val="0"/>
          <w:color w:val="8E94A8"/>
          <w:sz w:val="18"/>
        </w:rPr>
        <w:t>[38] 职业决策自我效能感对大学生就业选择的作用机理. 当代体育科技, 2024(15).</w:t>
      </w:r>
    </w:p>
    <w:p w14:paraId="1F99CC59">
      <w:pPr>
        <w:spacing w:after="20" w:line="360" w:lineRule="exact"/>
      </w:pPr>
      <w:r>
        <w:rPr>
          <w:rFonts w:ascii="微软雅黑" w:hAnsi="微软雅黑" w:eastAsia="微软雅黑"/>
          <w:b w:val="0"/>
          <w:color w:val="8E94A8"/>
          <w:sz w:val="18"/>
        </w:rPr>
        <w:t>[39] 大学生职业决策自我效能感的元分析. 应用心理学, 2016(01).</w:t>
      </w:r>
    </w:p>
    <w:p w14:paraId="777BD557">
      <w:pPr>
        <w:spacing w:after="20" w:line="360" w:lineRule="exact"/>
      </w:pPr>
      <w:r>
        <w:rPr>
          <w:rFonts w:ascii="微软雅黑" w:hAnsi="微软雅黑" w:eastAsia="微软雅黑"/>
          <w:b w:val="0"/>
          <w:color w:val="8E94A8"/>
          <w:sz w:val="18"/>
        </w:rPr>
        <w:t>[40] 大学生核心自我评价与生涯适应力关系研究.</w:t>
      </w:r>
    </w:p>
    <w:p w14:paraId="75772BC3">
      <w:pPr>
        <w:spacing w:after="20" w:line="360" w:lineRule="exact"/>
      </w:pPr>
      <w:r>
        <w:rPr>
          <w:rFonts w:ascii="微软雅黑" w:hAnsi="微软雅黑" w:eastAsia="微软雅黑"/>
          <w:b w:val="0"/>
          <w:color w:val="8E94A8"/>
          <w:sz w:val="18"/>
        </w:rPr>
        <w:t>[41] 大学生归因风格、心理韧性与职业决策自我效能感的关系研究.</w:t>
      </w:r>
    </w:p>
    <w:p w14:paraId="2D4FA2A9">
      <w:pPr>
        <w:spacing w:after="20" w:line="360" w:lineRule="exact"/>
      </w:pPr>
      <w:r>
        <w:rPr>
          <w:rFonts w:ascii="微软雅黑" w:hAnsi="微软雅黑" w:eastAsia="微软雅黑"/>
          <w:b w:val="0"/>
          <w:color w:val="8E94A8"/>
          <w:sz w:val="18"/>
        </w:rPr>
        <w:t>[42] 郑雅君. (2023). 金榜题名之后：大学生出路分化之谜. 上海三联书店.</w:t>
      </w:r>
    </w:p>
    <w:p w14:paraId="31AECF0F">
      <w:pPr>
        <w:spacing w:after="20" w:line="360" w:lineRule="exact"/>
      </w:pPr>
      <w:r>
        <w:rPr>
          <w:rFonts w:ascii="微软雅黑" w:hAnsi="微软雅黑" w:eastAsia="微软雅黑"/>
          <w:b w:val="0"/>
          <w:color w:val="8E94A8"/>
          <w:sz w:val="18"/>
        </w:rPr>
        <w:t>[43] 家庭教养模式、流动距离与小镇做题家心态的生成. 中国青年研究, 2023(10).</w:t>
      </w:r>
    </w:p>
    <w:p w14:paraId="65219078">
      <w:pPr>
        <w:spacing w:after="20" w:line="360" w:lineRule="exact"/>
      </w:pPr>
      <w:r>
        <w:rPr>
          <w:rFonts w:ascii="微软雅黑" w:hAnsi="微软雅黑" w:eastAsia="微软雅黑"/>
          <w:b w:val="0"/>
          <w:color w:val="8E94A8"/>
          <w:sz w:val="18"/>
        </w:rPr>
        <w:t>[44] 精英大学小镇做题家跨场域适应研究[D]. 云南师范大学.</w:t>
      </w:r>
    </w:p>
    <w:p w14:paraId="6CE914B9">
      <w:pPr>
        <w:spacing w:after="20" w:line="360" w:lineRule="exact"/>
      </w:pPr>
      <w:r>
        <w:rPr>
          <w:rFonts w:ascii="微软雅黑" w:hAnsi="微软雅黑" w:eastAsia="微软雅黑"/>
          <w:b w:val="0"/>
          <w:color w:val="8E94A8"/>
          <w:sz w:val="18"/>
        </w:rPr>
        <w:t>[45] 布尔迪厄, 帕斯隆. (2002). 继承人--大学生与文化. 商务印书馆.</w:t>
      </w:r>
    </w:p>
    <w:p w14:paraId="2E81B053">
      <w:pPr>
        <w:spacing w:after="20" w:line="360" w:lineRule="exact"/>
      </w:pPr>
      <w:r>
        <w:rPr>
          <w:rFonts w:ascii="微软雅黑" w:hAnsi="微软雅黑" w:eastAsia="微软雅黑"/>
          <w:b w:val="0"/>
          <w:color w:val="8E94A8"/>
          <w:sz w:val="18"/>
        </w:rPr>
        <w:t>[46] 拉鲁, A. (2018). 不平等的童年. 北京大学出版社.</w:t>
      </w:r>
    </w:p>
    <w:p w14:paraId="332A940B">
      <w:pPr>
        <w:spacing w:after="20" w:line="360" w:lineRule="exact"/>
      </w:pPr>
      <w:r>
        <w:rPr>
          <w:rFonts w:ascii="微软雅黑" w:hAnsi="微软雅黑" w:eastAsia="微软雅黑"/>
          <w:b w:val="0"/>
          <w:color w:val="8E94A8"/>
          <w:sz w:val="18"/>
        </w:rPr>
        <w:t>[47] 帕特南, R.D. (2017). 我们的孩子. 中国政法大学出版社.</w:t>
      </w:r>
    </w:p>
    <w:p w14:paraId="072E6ECF">
      <w:pPr>
        <w:spacing w:after="20" w:line="360" w:lineRule="exact"/>
      </w:pPr>
      <w:r>
        <w:rPr>
          <w:rFonts w:ascii="微软雅黑" w:hAnsi="微软雅黑" w:eastAsia="微软雅黑"/>
          <w:b w:val="0"/>
          <w:color w:val="8E94A8"/>
          <w:sz w:val="18"/>
        </w:rPr>
        <w:t>[48] 大学生就业意愿：主观与客观学业成就影响. 化工高等教育, 2023(04).</w:t>
      </w:r>
    </w:p>
    <w:p w14:paraId="17E75586">
      <w:pPr>
        <w:spacing w:after="20" w:line="360" w:lineRule="exact"/>
      </w:pPr>
      <w:r>
        <w:rPr>
          <w:rFonts w:ascii="微软雅黑" w:hAnsi="微软雅黑" w:eastAsia="微软雅黑"/>
          <w:b w:val="0"/>
          <w:color w:val="8E94A8"/>
          <w:sz w:val="18"/>
        </w:rPr>
        <w:t>[49] 生涯混沌理论视角下大学生职业决策影响因素研究. 黑龙江科学, 2026(07).</w:t>
      </w:r>
    </w:p>
    <w:p w14:paraId="7551F716">
      <w:pPr>
        <w:spacing w:after="20" w:line="360" w:lineRule="exact"/>
      </w:pPr>
      <w:r>
        <w:rPr>
          <w:rFonts w:ascii="微软雅黑" w:hAnsi="微软雅黑" w:eastAsia="微软雅黑"/>
          <w:b w:val="0"/>
          <w:color w:val="8E94A8"/>
          <w:sz w:val="18"/>
        </w:rPr>
        <w:t>[50] 大学生职业价值观形成过程与发生机制. 高校辅导员学刊, 2023(03).</w:t>
      </w:r>
    </w:p>
    <w:p w14:paraId="4FA6361D">
      <w:pPr>
        <w:spacing w:after="20" w:line="360" w:lineRule="exact"/>
      </w:pPr>
      <w:r>
        <w:rPr>
          <w:rFonts w:ascii="微软雅黑" w:hAnsi="微软雅黑" w:eastAsia="微软雅黑"/>
          <w:b w:val="0"/>
          <w:color w:val="8E94A8"/>
          <w:sz w:val="18"/>
        </w:rPr>
        <w:t>[51] 杨仕元等. 大学生就业压力及影响因素分析. 中国大学生就业, 2022(14).</w:t>
      </w:r>
    </w:p>
    <w:p w14:paraId="2F8832EB">
      <w:pPr>
        <w:spacing w:after="20" w:line="360" w:lineRule="exact"/>
      </w:pPr>
      <w:r>
        <w:rPr>
          <w:rFonts w:ascii="微软雅黑" w:hAnsi="微软雅黑" w:eastAsia="微软雅黑"/>
          <w:b w:val="0"/>
          <w:color w:val="8E94A8"/>
          <w:sz w:val="18"/>
        </w:rPr>
        <w:t>[52] Clemente-Suarez, V.J. et al. (2026). Psychophysiological stress responses in higher education. Trends in Neuroscience and Education.</w:t>
      </w:r>
    </w:p>
    <w:p w14:paraId="0A1E32C6">
      <w:pPr>
        <w:spacing w:after="20" w:line="360" w:lineRule="exact"/>
      </w:pPr>
      <w:r>
        <w:rPr>
          <w:rFonts w:ascii="微软雅黑" w:hAnsi="微软雅黑" w:eastAsia="微软雅黑"/>
          <w:b w:val="0"/>
          <w:color w:val="8E94A8"/>
          <w:sz w:val="18"/>
        </w:rPr>
        <w:t>[53] Chen, L. &amp; Zhang, R.C. (2024). Career construction theory and gender differences. J Educational and Social Research, 14(6).</w:t>
      </w:r>
    </w:p>
    <w:p w14:paraId="0EC90479">
      <w:pPr>
        <w:spacing w:after="20" w:line="360" w:lineRule="exact"/>
      </w:pPr>
      <w:r>
        <w:rPr>
          <w:rFonts w:ascii="微软雅黑" w:hAnsi="微软雅黑" w:eastAsia="微软雅黑"/>
          <w:b w:val="0"/>
          <w:color w:val="8E94A8"/>
          <w:sz w:val="18"/>
        </w:rPr>
        <w:t>[54] 家庭资本和人力资本对青年就业质量的影响. 广东青年研究, 2025(01).</w:t>
      </w:r>
    </w:p>
    <w:p w14:paraId="12118590">
      <w:pPr>
        <w:spacing w:after="20" w:line="360" w:lineRule="exact"/>
      </w:pPr>
      <w:r>
        <w:rPr>
          <w:rFonts w:ascii="微软雅黑" w:hAnsi="微软雅黑" w:eastAsia="微软雅黑"/>
          <w:b w:val="0"/>
          <w:color w:val="8E94A8"/>
          <w:sz w:val="18"/>
        </w:rPr>
        <w:t>[55] 社会资本影响大学生就业的两面性研究.</w:t>
      </w:r>
    </w:p>
    <w:p w14:paraId="6183EAB8">
      <w:pPr>
        <w:spacing w:after="80" w:line="360" w:lineRule="exact"/>
      </w:pPr>
    </w:p>
    <w:p w14:paraId="4D74E7B0">
      <w:pPr>
        <w:spacing w:after="80" w:line="360" w:lineRule="exact"/>
      </w:pPr>
      <w:r>
        <w:rPr>
          <w:rFonts w:ascii="微软雅黑" w:hAnsi="微软雅黑" w:eastAsia="微软雅黑"/>
          <w:b w:val="0"/>
          <w:color w:val="8E94A8"/>
          <w:sz w:val="18"/>
        </w:rPr>
        <w:t>-- 编写说明：本综述共引用55条参考文献（英文22篇、中文28篇、专著4部、学位论文1篇）。文献来源包括PubMed、Web of Science、Scopus、CNKI等学术数据库。部分英文文献的中文译述由研究团队完成。--</w:t>
      </w:r>
    </w:p>
    <w:sectPr>
      <w:pgSz w:w="12240" w:h="15840"/>
      <w:pgMar w:top="1417" w:right="1417" w:bottom="1417"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GENISO"/>
    <w:panose1 w:val="00000000000000000000"/>
    <w:charset w:val="00"/>
    <w:family w:val="auto"/>
    <w:pitch w:val="default"/>
    <w:sig w:usb0="00000000" w:usb1="00000000" w:usb2="00000000" w:usb3="00000000" w:csb0="00000000" w:csb1="00000000"/>
  </w:font>
  <w:font w:name="GENISO">
    <w:panose1 w:val="02000400000000000000"/>
    <w:charset w:val="00"/>
    <w:family w:val="auto"/>
    <w:pitch w:val="default"/>
    <w:sig w:usb0="00000003" w:usb1="00000000" w:usb2="00000040" w:usb3="00000000" w:csb0="000001FF" w:csb1="0000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6"/>
  <w:doNotDisplayPageBoundarie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4ED1A50"/>
    <w:rsid w:val="6B83055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360" w:lineRule="exact"/>
    </w:pPr>
    <w:rPr>
      <w:rFonts w:ascii="微软雅黑" w:hAnsi="微软雅黑" w:eastAsia="微软雅黑"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8656</Words>
  <Characters>11956</Characters>
  <Lines>0</Lines>
  <Paragraphs>0</Paragraphs>
  <TotalTime>3</TotalTime>
  <ScaleCrop>false</ScaleCrop>
  <LinksUpToDate>false</LinksUpToDate>
  <CharactersWithSpaces>12660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WPS_1771987873</cp:lastModifiedBy>
  <dcterms:modified xsi:type="dcterms:W3CDTF">2026-07-19T02:12:15Z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eyJoZGlkIjoiNDQ1NzMzMmQ1NWQ2Y2RiNjBhN2I0MWNiOTRjN2Q3YjMiLCJ1c2VySWQiOiIxODA1MjExMDU5In0=</vt:lpwstr>
  </property>
  <property fmtid="{D5CDD505-2E9C-101B-9397-08002B2CF9AE}" pid="3" name="KSOProductBuildVer">
    <vt:lpwstr>2052-12.1.0.26895</vt:lpwstr>
  </property>
  <property fmtid="{D5CDD505-2E9C-101B-9397-08002B2CF9AE}" pid="4" name="ICV">
    <vt:lpwstr>AB14E77B4BE141BBA261502654D94829_12</vt:lpwstr>
  </property>
</Properties>
</file>