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360" w:lineRule="exact"/>
      </w:pPr>
      <w:r>
        <w:rPr>
          <w:rFonts w:ascii="微软雅黑" w:hAnsi="微软雅黑" w:eastAsia="微软雅黑"/>
          <w:b w:val="0"/>
          <w:sz w:val="12"/>
        </w:rPr>
      </w:r>
    </w:p>
    <w:p>
      <w:pPr>
        <w:spacing w:after="80" w:line="360" w:lineRule="exact"/>
      </w:pPr>
      <w:r>
        <w:rPr>
          <w:rFonts w:ascii="微软雅黑" w:hAnsi="微软雅黑" w:eastAsia="微软雅黑"/>
          <w:b w:val="0"/>
          <w:sz w:val="12"/>
        </w:rPr>
      </w:r>
    </w:p>
    <w:p>
      <w:pPr>
        <w:spacing w:after="120" w:line="360" w:lineRule="exact"/>
        <w:jc w:val="center"/>
      </w:pPr>
      <w:r>
        <w:rPr>
          <w:rFonts w:ascii="微软雅黑" w:hAnsi="微软雅黑" w:eastAsia="微软雅黑"/>
          <w:b/>
          <w:color w:val="1A2233"/>
          <w:sz w:val="56"/>
        </w:rPr>
        <w:t>研 究 笔 记</w:t>
      </w:r>
    </w:p>
    <w:p>
      <w:pPr>
        <w:spacing w:after="80" w:line="360" w:lineRule="exact"/>
        <w:jc w:val="center"/>
      </w:pPr>
      <w:r>
        <w:rPr>
          <w:rFonts w:ascii="微软雅黑" w:hAnsi="微软雅黑" w:eastAsia="微软雅黑"/>
          <w:b/>
          <w:color w:val="1A2233"/>
          <w:sz w:val="40"/>
        </w:rPr>
        <w:t>大学生职业规划的多维影响因素</w:t>
      </w:r>
    </w:p>
    <w:p>
      <w:pPr>
        <w:spacing w:after="320" w:line="360" w:lineRule="exact"/>
        <w:jc w:val="center"/>
      </w:pPr>
      <w:r>
        <w:rPr>
          <w:rFonts w:ascii="微软雅黑" w:hAnsi="微软雅黑" w:eastAsia="微软雅黑"/>
          <w:b w:val="0"/>
          <w:color w:val="5C6680"/>
          <w:sz w:val="28"/>
        </w:rPr>
        <w:t>—— 文献综述 ——</w:t>
      </w:r>
    </w:p>
    <w:p>
      <w:pPr>
        <w:spacing w:after="80" w:line="360" w:lineRule="exact"/>
        <w:jc w:val="center"/>
      </w:pPr>
      <w:r>
        <w:rPr>
          <w:rFonts w:ascii="微软雅黑" w:hAnsi="微软雅黑" w:eastAsia="微软雅黑"/>
          <w:b w:val="0"/>
          <w:color w:val="8E94A8"/>
          <w:sz w:val="24"/>
        </w:rPr>
        <w:t>文献支持：六维画像引擎的产品设计依据</w:t>
      </w:r>
    </w:p>
    <w:p>
      <w:pPr>
        <w:spacing w:after="80" w:line="360" w:lineRule="exact"/>
        <w:jc w:val="center"/>
      </w:pPr>
      <w:r>
        <w:rPr>
          <w:rFonts w:ascii="微软雅黑" w:hAnsi="微软雅黑" w:eastAsia="微软雅黑"/>
          <w:b w:val="0"/>
          <w:color w:val="8E94A8"/>
          <w:sz w:val="22"/>
        </w:rPr>
        <w:t>华图教育 AI产品团队 | 2026年7月</w:t>
      </w:r>
    </w:p>
    <w:p>
      <w:r>
        <w:br w:type="page"/>
      </w:r>
    </w:p>
    <w:p>
      <w:pPr>
        <w:pStyle w:val="Heading1"/>
      </w:pPr>
      <w:r>
        <w:rPr>
          <w:rFonts w:ascii="微软雅黑" w:hAnsi="微软雅黑" w:eastAsia="微软雅黑"/>
        </w:rPr>
        <w:t>目  录</w:t>
      </w:r>
    </w:p>
    <w:p>
      <w:pPr>
        <w:spacing w:after="40" w:line="360" w:lineRule="exact"/>
        <w:ind w:left="283"/>
      </w:pPr>
      <w:r>
        <w:rPr>
          <w:rFonts w:ascii="微软雅黑" w:hAnsi="微软雅黑" w:eastAsia="微软雅黑"/>
          <w:b w:val="0"/>
          <w:color w:val="1A2233"/>
          <w:sz w:val="22"/>
        </w:rPr>
        <w:t>一、综述目的与研究问题</w:t>
      </w:r>
    </w:p>
    <w:p>
      <w:pPr>
        <w:spacing w:after="40" w:line="360" w:lineRule="exact"/>
        <w:ind w:left="283"/>
      </w:pPr>
      <w:r>
        <w:rPr>
          <w:rFonts w:ascii="微软雅黑" w:hAnsi="微软雅黑" w:eastAsia="微软雅黑"/>
          <w:b w:val="0"/>
          <w:color w:val="1A2233"/>
          <w:sz w:val="22"/>
        </w:rPr>
        <w:t>二、理论基础：自我决定理论与生涯建构理论</w:t>
      </w:r>
    </w:p>
    <w:p>
      <w:pPr>
        <w:spacing w:after="40" w:line="360" w:lineRule="exact"/>
        <w:ind w:left="283"/>
      </w:pPr>
      <w:r>
        <w:rPr>
          <w:rFonts w:ascii="微软雅黑" w:hAnsi="微软雅黑" w:eastAsia="微软雅黑"/>
          <w:b w:val="0"/>
          <w:color w:val="1A2233"/>
          <w:sz w:val="22"/>
        </w:rPr>
        <w:t xml:space="preserve">　2.1 自我决定理论（SDT）</w:t>
      </w:r>
    </w:p>
    <w:p>
      <w:pPr>
        <w:spacing w:after="40" w:line="360" w:lineRule="exact"/>
        <w:ind w:left="283"/>
      </w:pPr>
      <w:r>
        <w:rPr>
          <w:rFonts w:ascii="微软雅黑" w:hAnsi="微软雅黑" w:eastAsia="微软雅黑"/>
          <w:b w:val="0"/>
          <w:color w:val="1A2233"/>
          <w:sz w:val="22"/>
        </w:rPr>
        <w:t xml:space="preserve">　2.2 生涯建构理论（CCT）</w:t>
      </w:r>
    </w:p>
    <w:p>
      <w:pPr>
        <w:spacing w:after="40" w:line="360" w:lineRule="exact"/>
        <w:ind w:left="283"/>
      </w:pPr>
      <w:r>
        <w:rPr>
          <w:rFonts w:ascii="微软雅黑" w:hAnsi="微软雅黑" w:eastAsia="微软雅黑"/>
          <w:b w:val="0"/>
          <w:color w:val="1A2233"/>
          <w:sz w:val="22"/>
        </w:rPr>
        <w:t>三、主题一：身心健康对职业发展的影响</w:t>
      </w:r>
    </w:p>
    <w:p>
      <w:pPr>
        <w:spacing w:after="40" w:line="360" w:lineRule="exact"/>
        <w:ind w:left="283"/>
      </w:pPr>
      <w:r>
        <w:rPr>
          <w:rFonts w:ascii="微软雅黑" w:hAnsi="微软雅黑" w:eastAsia="微软雅黑"/>
          <w:b w:val="0"/>
          <w:color w:val="1A2233"/>
          <w:sz w:val="22"/>
        </w:rPr>
        <w:t xml:space="preserve">　3.1 学术应激的生理证据</w:t>
      </w:r>
    </w:p>
    <w:p>
      <w:pPr>
        <w:spacing w:after="40" w:line="360" w:lineRule="exact"/>
        <w:ind w:left="283"/>
      </w:pPr>
      <w:r>
        <w:rPr>
          <w:rFonts w:ascii="微软雅黑" w:hAnsi="微软雅黑" w:eastAsia="微软雅黑"/>
          <w:b w:val="0"/>
          <w:color w:val="1A2233"/>
          <w:sz w:val="22"/>
        </w:rPr>
        <w:t xml:space="preserve">　3.2 慢性应激与职业决策质量</w:t>
      </w:r>
    </w:p>
    <w:p>
      <w:pPr>
        <w:spacing w:after="40" w:line="360" w:lineRule="exact"/>
        <w:ind w:left="283"/>
      </w:pPr>
      <w:r>
        <w:rPr>
          <w:rFonts w:ascii="微软雅黑" w:hAnsi="微软雅黑" w:eastAsia="微软雅黑"/>
          <w:b w:val="0"/>
          <w:color w:val="1A2233"/>
          <w:sz w:val="22"/>
        </w:rPr>
        <w:t xml:space="preserve">　3.3 可穿戴设备在应激监测中的应用</w:t>
      </w:r>
    </w:p>
    <w:p>
      <w:pPr>
        <w:spacing w:after="40" w:line="360" w:lineRule="exact"/>
        <w:ind w:left="283"/>
      </w:pPr>
      <w:r>
        <w:rPr>
          <w:rFonts w:ascii="微软雅黑" w:hAnsi="微软雅黑" w:eastAsia="微软雅黑"/>
          <w:b w:val="0"/>
          <w:color w:val="1A2233"/>
          <w:sz w:val="22"/>
        </w:rPr>
        <w:t>四、主题二：家庭因素对职业选择的多维影响</w:t>
      </w:r>
    </w:p>
    <w:p>
      <w:pPr>
        <w:spacing w:after="40" w:line="360" w:lineRule="exact"/>
        <w:ind w:left="283"/>
      </w:pPr>
      <w:r>
        <w:rPr>
          <w:rFonts w:ascii="微软雅黑" w:hAnsi="微软雅黑" w:eastAsia="微软雅黑"/>
          <w:b w:val="0"/>
          <w:color w:val="1A2233"/>
          <w:sz w:val="22"/>
        </w:rPr>
        <w:t xml:space="preserve">　4.1 家庭社会经济地位（SES）与职业探索</w:t>
      </w:r>
    </w:p>
    <w:p>
      <w:pPr>
        <w:spacing w:after="40" w:line="360" w:lineRule="exact"/>
        <w:ind w:left="283"/>
      </w:pPr>
      <w:r>
        <w:rPr>
          <w:rFonts w:ascii="微软雅黑" w:hAnsi="微软雅黑" w:eastAsia="微软雅黑"/>
          <w:b w:val="0"/>
          <w:color w:val="1A2233"/>
          <w:sz w:val="22"/>
        </w:rPr>
        <w:t xml:space="preserve">　4.2 父母期望与教养方式的传导机制</w:t>
      </w:r>
    </w:p>
    <w:p>
      <w:pPr>
        <w:spacing w:after="40" w:line="360" w:lineRule="exact"/>
        <w:ind w:left="283"/>
      </w:pPr>
      <w:r>
        <w:rPr>
          <w:rFonts w:ascii="微软雅黑" w:hAnsi="微软雅黑" w:eastAsia="微软雅黑"/>
          <w:b w:val="0"/>
          <w:color w:val="1A2233"/>
          <w:sz w:val="22"/>
        </w:rPr>
        <w:t xml:space="preserve">　4.3 家庭文化资本与社会资本的独立效应</w:t>
      </w:r>
    </w:p>
    <w:p>
      <w:pPr>
        <w:spacing w:after="40" w:line="360" w:lineRule="exact"/>
        <w:ind w:left="283"/>
      </w:pPr>
      <w:r>
        <w:rPr>
          <w:rFonts w:ascii="微软雅黑" w:hAnsi="微软雅黑" w:eastAsia="微软雅黑"/>
          <w:b w:val="0"/>
          <w:color w:val="1A2233"/>
          <w:sz w:val="22"/>
        </w:rPr>
        <w:t>五、主题三：职业规划中"自主性"缺失的结构性困境</w:t>
      </w:r>
    </w:p>
    <w:p>
      <w:pPr>
        <w:spacing w:after="40" w:line="360" w:lineRule="exact"/>
        <w:ind w:left="283"/>
      </w:pPr>
      <w:r>
        <w:rPr>
          <w:rFonts w:ascii="微软雅黑" w:hAnsi="微软雅黑" w:eastAsia="微软雅黑"/>
          <w:b w:val="0"/>
          <w:color w:val="1A2233"/>
          <w:sz w:val="22"/>
        </w:rPr>
        <w:t xml:space="preserve">　5.1 从《金榜题名之后》到"小镇做题家"</w:t>
      </w:r>
    </w:p>
    <w:p>
      <w:pPr>
        <w:spacing w:after="40" w:line="360" w:lineRule="exact"/>
        <w:ind w:left="283"/>
      </w:pPr>
      <w:r>
        <w:rPr>
          <w:rFonts w:ascii="微软雅黑" w:hAnsi="微软雅黑" w:eastAsia="微软雅黑"/>
          <w:b w:val="0"/>
          <w:color w:val="1A2233"/>
          <w:sz w:val="22"/>
        </w:rPr>
        <w:t xml:space="preserve">　5.2 直觉依赖与"被选择"的出路分化</w:t>
      </w:r>
    </w:p>
    <w:p>
      <w:pPr>
        <w:spacing w:after="40" w:line="360" w:lineRule="exact"/>
        <w:ind w:left="283"/>
      </w:pPr>
      <w:r>
        <w:rPr>
          <w:rFonts w:ascii="微软雅黑" w:hAnsi="微软雅黑" w:eastAsia="微软雅黑"/>
          <w:b w:val="0"/>
          <w:color w:val="1A2233"/>
          <w:sz w:val="22"/>
        </w:rPr>
        <w:t xml:space="preserve">　5.3 父母期望的隐性压力与性别差异</w:t>
      </w:r>
    </w:p>
    <w:p>
      <w:pPr>
        <w:spacing w:after="40" w:line="360" w:lineRule="exact"/>
        <w:ind w:left="283"/>
      </w:pPr>
      <w:r>
        <w:rPr>
          <w:rFonts w:ascii="微软雅黑" w:hAnsi="微软雅黑" w:eastAsia="微软雅黑"/>
          <w:b w:val="0"/>
          <w:color w:val="1A2233"/>
          <w:sz w:val="22"/>
        </w:rPr>
        <w:t>六、研究结论与产品设计启示</w:t>
      </w:r>
    </w:p>
    <w:p>
      <w:pPr>
        <w:spacing w:after="40" w:line="360" w:lineRule="exact"/>
        <w:ind w:left="283"/>
      </w:pPr>
      <w:r>
        <w:rPr>
          <w:rFonts w:ascii="微软雅黑" w:hAnsi="微软雅黑" w:eastAsia="微软雅黑"/>
          <w:b w:val="0"/>
          <w:color w:val="1A2233"/>
          <w:sz w:val="22"/>
        </w:rPr>
        <w:t>七、参考文献清单</w:t>
      </w:r>
    </w:p>
    <w:p>
      <w:r>
        <w:br w:type="page"/>
      </w:r>
    </w:p>
    <w:p>
      <w:pPr>
        <w:pStyle w:val="Heading1"/>
      </w:pPr>
      <w:r>
        <w:rPr>
          <w:rFonts w:ascii="微软雅黑" w:hAnsi="微软雅黑" w:eastAsia="微软雅黑"/>
        </w:rPr>
        <w:t>一、综述目的与研究问题</w:t>
      </w:r>
    </w:p>
    <w:p>
      <w:pPr>
        <w:spacing w:after="80" w:line="360" w:lineRule="exact"/>
      </w:pPr>
      <w:r>
        <w:rPr>
          <w:rFonts w:ascii="微软雅黑" w:hAnsi="微软雅黑" w:eastAsia="微软雅黑"/>
          <w:b w:val="0"/>
          <w:sz w:val="21"/>
        </w:rPr>
        <w:t>自研产品"AI驱动的大学生全周期成长规划引擎"的核心创新在于：不依赖单一的性格测评，而是融合生理数据、家庭约束、行为日志与价值观排序，构建六维学情画像。区别于市面上以"自我实现"为单一假设的测评工具，本产品强调用户在起点自主定义规划目的（自我实现/经济独立/摆脱原生家庭/体验多元人生），并基于此展开后续的客观约束筛查与路径推演。</w:t>
      </w:r>
    </w:p>
    <w:p>
      <w:pPr>
        <w:spacing w:after="80" w:line="360" w:lineRule="exact"/>
      </w:pPr>
      <w:r>
        <w:rPr>
          <w:rFonts w:ascii="微软雅黑" w:hAnsi="微软雅黑" w:eastAsia="微软雅黑"/>
          <w:b w:val="0"/>
          <w:sz w:val="21"/>
        </w:rPr>
        <w:t>本综述围绕以下四个研究问题展开文献梳理：</w:t>
      </w:r>
    </w:p>
    <w:p>
      <w:pPr>
        <w:spacing w:after="80" w:line="360" w:lineRule="exact"/>
        <w:ind w:left="283"/>
      </w:pPr>
      <w:r>
        <w:rPr>
          <w:rFonts w:ascii="微软雅黑" w:hAnsi="微软雅黑" w:eastAsia="微软雅黑"/>
          <w:b w:val="0"/>
          <w:sz w:val="21"/>
        </w:rPr>
        <w:t>(1) 身心健康（应激反应、睡眠、心率变异）在多大程度上影响大学生的职业决策质量？——对应"生理指标"维度的纳入及"可穿戴监测"模块的设计依据。</w:t>
      </w:r>
    </w:p>
    <w:p>
      <w:pPr>
        <w:spacing w:after="80" w:line="360" w:lineRule="exact"/>
        <w:ind w:left="283"/>
      </w:pPr>
      <w:r>
        <w:rPr>
          <w:rFonts w:ascii="微软雅黑" w:hAnsi="微软雅黑" w:eastAsia="微软雅黑"/>
          <w:b w:val="0"/>
          <w:sz w:val="21"/>
        </w:rPr>
        <w:t>(2) 家庭因素（经济资本、文化资本、社会资本、教养方式与父母期望）如何塑造大学生的职业探索与出路分化？——对应"家庭约束"维度的纳入及"客观约束筛查引擎"的设计依据。</w:t>
      </w:r>
    </w:p>
    <w:p>
      <w:pPr>
        <w:spacing w:after="80" w:line="360" w:lineRule="exact"/>
        <w:ind w:left="283"/>
      </w:pPr>
      <w:r>
        <w:rPr>
          <w:rFonts w:ascii="微软雅黑" w:hAnsi="微软雅黑" w:eastAsia="微软雅黑"/>
          <w:b w:val="0"/>
          <w:sz w:val="21"/>
        </w:rPr>
        <w:t>(3) 大学生职业规划中"自主性"缺失如何导致迷茫与被动的出路结果？——对应"规划目的选择"环节（Step 0）及"前人案例参照引擎"的设计依据。</w:t>
      </w:r>
    </w:p>
    <w:p>
      <w:pPr>
        <w:spacing w:after="80" w:line="360" w:lineRule="exact"/>
        <w:ind w:left="283"/>
      </w:pPr>
      <w:r>
        <w:rPr>
          <w:rFonts w:ascii="微软雅黑" w:hAnsi="微软雅黑" w:eastAsia="微软雅黑"/>
          <w:b w:val="0"/>
          <w:sz w:val="21"/>
        </w:rPr>
        <w:t>(4) 可穿戴生理监测在大学生群体中的可行性与效用证据如何？——对应"可穿戴设备+应激事件归因闭环"的技术可行性论证。</w:t>
      </w:r>
    </w:p>
    <w:p>
      <w:pPr>
        <w:pStyle w:val="Heading1"/>
      </w:pPr>
      <w:r>
        <w:rPr>
          <w:rFonts w:ascii="微软雅黑" w:hAnsi="微软雅黑" w:eastAsia="微软雅黑"/>
        </w:rPr>
        <w:t>二、理论基础：自我决定理论与生涯建构理论</w:t>
      </w:r>
    </w:p>
    <w:p>
      <w:pPr>
        <w:pStyle w:val="Heading2"/>
      </w:pPr>
      <w:r>
        <w:rPr>
          <w:rFonts w:ascii="微软雅黑" w:hAnsi="微软雅黑" w:eastAsia="微软雅黑"/>
        </w:rPr>
        <w:t>2.1 自我决定理论（SDT）</w:t>
      </w:r>
    </w:p>
    <w:p>
      <w:pPr>
        <w:spacing w:after="80" w:line="360" w:lineRule="exact"/>
      </w:pPr>
      <w:r>
        <w:rPr>
          <w:rFonts w:ascii="微软雅黑" w:hAnsi="微软雅黑" w:eastAsia="微软雅黑"/>
          <w:b w:val="0"/>
          <w:sz w:val="21"/>
        </w:rPr>
        <w:t>自我决定理论（Self-Determination Theory, SDT）由Ryan和Deci提出并持续发展，已成为理解人类动机与幸福感的重要理论框架[1]。SDT的核心主张是：当个体的三种基本心理需求——自主性（autonomy）、胜任感（competence）和关系感（relatedness）——得到满足时，个体将表现出更高的内在动机、更好的绩效和更优的心理健康。</w:t>
      </w:r>
    </w:p>
    <w:p>
      <w:pPr>
        <w:spacing w:after="80" w:line="360" w:lineRule="exact"/>
      </w:pPr>
      <w:r>
        <w:rPr>
          <w:rFonts w:ascii="微软雅黑" w:hAnsi="微软雅黑" w:eastAsia="微软雅黑"/>
          <w:b w:val="0"/>
          <w:sz w:val="21"/>
        </w:rPr>
        <w:t>该理论对产品设计的直接启示在于：自主性需求是行为持续性的前提。Cahyasari（2024）对200名毕业班大学生的定量研究发现，自我决定水平与生涯决策能力之间存在显著正相关（r=0.685, p&lt;0.001），证明"让学生自己做决定"并非价值理念，而是可被量化的效能机制[2]。Lu等（2024）基于1246名中国大学生的三阶段追踪设计进一步发现，未来工作自我显著性（future work self-salience）——即个体对自己的未来职业形象有多清晰的想象——正向调节教师支持对职业探索的促进作用[3]。换言之，学生在行动前需要先有能力想象"自己想成为谁"，单纯的"老师让你干什么"无法替代这一认知建构过程。</w:t>
      </w:r>
    </w:p>
    <w:p>
      <w:pPr>
        <w:spacing w:after="80" w:line="360" w:lineRule="exact"/>
      </w:pPr>
      <w:r>
        <w:rPr>
          <w:rFonts w:ascii="微软雅黑" w:hAnsi="微软雅黑" w:eastAsia="微软雅黑"/>
          <w:b w:val="0"/>
          <w:sz w:val="21"/>
        </w:rPr>
        <w:t>陆等（2024）基于青海大学生的结构方程模型研究验证了自我认知各维度在就业意愿形成中扮演不同角色——人际关系和个体胜任感对就业意愿有显著正向影响，而自主性的作用则通过环境感知间接实现[4]。这一发现意味着，仅提供测评报告（告知"你是谁"）而不提供"为什么这些信息与你的未来相关"的语境化连接，自主性需求不会自动转化为行动动机。SDT因此为产品的"目的先行"设计提供了直接的理论基础——不是AI替学生选路，而是AI帮助学生"先知道自己在乎什么，再知道能走哪条路"。</w:t>
      </w:r>
    </w:p>
    <w:p>
      <w:pPr>
        <w:pStyle w:val="Heading2"/>
      </w:pPr>
      <w:r>
        <w:rPr>
          <w:rFonts w:ascii="微软雅黑" w:hAnsi="微软雅黑" w:eastAsia="微软雅黑"/>
        </w:rPr>
        <w:t>2.2 生涯建构理论（CCT）</w:t>
      </w:r>
    </w:p>
    <w:p>
      <w:pPr>
        <w:spacing w:after="80" w:line="360" w:lineRule="exact"/>
      </w:pPr>
      <w:r>
        <w:rPr>
          <w:rFonts w:ascii="微软雅黑" w:hAnsi="微软雅黑" w:eastAsia="微软雅黑"/>
          <w:b w:val="0"/>
          <w:sz w:val="21"/>
        </w:rPr>
        <w:t>Savickas（2002, 2005, 2012）提出的生涯建构理论（Career Construction Theory, CCT）是当代职业心理学的重要范式转型。该理论认为，在全球化、技术变革和职业边界消融的后现代语境下，传统的"人-职匹配"范式（如Holland类型论）已不足以解释个体的职业生涯发展[5,6]。CCT提出三个核心概念：人生主题（life theme）、职业人格（vocational personality）和生涯适应力（career adaptability）。其中，生涯适应力被视为个体面对可预测的生涯任务、角色转换和不可预测的生涯事件时的核心心理资源，包含关注（concern）、控制（control）、好奇（curiosity）和自信（confidence）四个维度[7]。</w:t>
      </w:r>
    </w:p>
    <w:p>
      <w:pPr>
        <w:spacing w:after="80" w:line="360" w:lineRule="exact"/>
      </w:pPr>
      <w:r>
        <w:rPr>
          <w:rFonts w:ascii="微软雅黑" w:hAnsi="微软雅黑" w:eastAsia="微软雅黑"/>
          <w:b w:val="0"/>
          <w:sz w:val="21"/>
        </w:rPr>
        <w:t>Wang和Yang（2023, 2025）对中国大学生群体的系统综述和实证研究发现，未来工作自我显著性与职业探索正相关，而职业决策自我效能感对生涯适应力具有正向预测作用[8,9]。Gao等（2025）在追踪研究中进一步证实，生涯适应力通过职业未来时间视角的中介作用影响毕业生心理健康，提示"能看见自己的未来路径"本身就是一种保护性心理资源[10]。</w:t>
      </w:r>
    </w:p>
    <w:p>
      <w:pPr>
        <w:spacing w:after="80" w:line="360" w:lineRule="exact"/>
      </w:pPr>
      <w:r>
        <w:rPr>
          <w:rFonts w:ascii="微软雅黑" w:hAnsi="微软雅黑" w:eastAsia="微软雅黑"/>
          <w:b w:val="0"/>
          <w:sz w:val="21"/>
        </w:rPr>
        <w:t>Chen和Zhang（2024）基于生涯建构理论对中国大学生的研究发现，该理论框架能显著降低职业决策困难，且效应存在性别差异——女性学生的职业决策困难高于男性学生，提示产品设计中需要考虑"不同群体的自主性启动阈值"的差异[11]。这些证据直接支撑了产品的核心设计逻辑：路径推演的目的不是给出"唯一最优答案"，而是刺激学生对自身未来工作自我的认知建构（career concern）和主动探索（career curiosity），从而提升生涯适应力的四个维度。</w:t>
      </w:r>
    </w:p>
    <w:p>
      <w:pPr>
        <w:pStyle w:val="Heading1"/>
      </w:pPr>
      <w:r>
        <w:rPr>
          <w:rFonts w:ascii="微软雅黑" w:hAnsi="微软雅黑" w:eastAsia="微软雅黑"/>
        </w:rPr>
        <w:t>三、主题一：身心健康对职业发展的影响</w:t>
      </w:r>
    </w:p>
    <w:p>
      <w:pPr>
        <w:pStyle w:val="Heading2"/>
      </w:pPr>
      <w:r>
        <w:rPr>
          <w:rFonts w:ascii="微软雅黑" w:hAnsi="微软雅黑" w:eastAsia="微软雅黑"/>
        </w:rPr>
        <w:t>3.1 学术应激的生理证据</w:t>
      </w:r>
    </w:p>
    <w:p>
      <w:pPr>
        <w:spacing w:after="80" w:line="360" w:lineRule="exact"/>
      </w:pPr>
      <w:r>
        <w:rPr>
          <w:rFonts w:ascii="微软雅黑" w:hAnsi="微软雅黑" w:eastAsia="微软雅黑"/>
          <w:b w:val="0"/>
          <w:sz w:val="21"/>
        </w:rPr>
        <w:t>Benitez-Agudelo等（2025）对115名哥伦比亚大学生进行的纵向研究提供了"高分+高压"悖论的直接生理证据：在一个学期内，学生的睡眠时长、睡眠质量和心率变异（HRV）均显著下降，焦虑和抑郁症状上升，但学业成绩却在提升——"更好的成绩可能以牺牲身心健康为代价"[12]。Clemente-Suarez等（2026）对680名大学生的横截面研究进一步揭示了性别与学科的交互效应：女性学生报告更高的认知焦虑和躯体焦虑，工程学学生表现出更高的生理激活水平；自我效能感和适度焦虑对GPA有正向预测作用，但躯体焦虑在男性学生中显著负向预测学业表现[13]。</w:t>
      </w:r>
    </w:p>
    <w:p>
      <w:pPr>
        <w:pStyle w:val="Heading2"/>
      </w:pPr>
      <w:r>
        <w:rPr>
          <w:rFonts w:ascii="微软雅黑" w:hAnsi="微软雅黑" w:eastAsia="微软雅黑"/>
        </w:rPr>
        <w:t>3.2 慢性应激与职业决策质量</w:t>
      </w:r>
    </w:p>
    <w:p>
      <w:pPr>
        <w:spacing w:after="80" w:line="360" w:lineRule="exact"/>
      </w:pPr>
      <w:r>
        <w:rPr>
          <w:rFonts w:ascii="微软雅黑" w:hAnsi="微软雅黑" w:eastAsia="微软雅黑"/>
          <w:b w:val="0"/>
          <w:sz w:val="21"/>
        </w:rPr>
        <w:t>Kuhnell等（2020）以79名男性大学生为对象，结合努力-回报失衡模型（Effort-Reward Imbalance, ERI模型）和HRV、唾液α-淀粉酶等生理指标，首次将"慢性职业压力"与"生理反应性"同时纳入决策质量的分析框架。研究结果表明：过度投入（overcommitment）水平越高、生理反应性越强的学生，在标准化的决策任务中表现越差[14]。这意味着抗压能力不仅影响学业表现，更直接影响"选择本身的质量"——对于面临考研/考公/就业等重大人生决策的大学生而言，慢性应激可能使他们做出"次优选择"而非真正的最优决策。</w:t>
      </w:r>
    </w:p>
    <w:p>
      <w:pPr>
        <w:spacing w:after="80" w:line="360" w:lineRule="exact"/>
      </w:pPr>
      <w:r>
        <w:rPr>
          <w:rFonts w:ascii="微软雅黑" w:hAnsi="微软雅黑" w:eastAsia="微软雅黑"/>
          <w:b w:val="0"/>
          <w:sz w:val="21"/>
        </w:rPr>
        <w:t>日本学者对103名大学生进行的可穿戴设备实地研究（2025）发现，学生的集体生理应激模式与学期考试周期高度吻合——考试周的群体性静息心率升高和HRV下降是一种可被检测的"结构性应激"信号[15]。这一结论暗示：如果能够持续监测应激模式，系统可以提前预警"高危阶段"并主动建议减负或调整规划节奏。</w:t>
      </w:r>
    </w:p>
    <w:p>
      <w:pPr>
        <w:pStyle w:val="Heading2"/>
      </w:pPr>
      <w:r>
        <w:rPr>
          <w:rFonts w:ascii="微软雅黑" w:hAnsi="微软雅黑" w:eastAsia="微软雅黑"/>
        </w:rPr>
        <w:t>3.3 可穿戴设备在大学生应激监测中的应用</w:t>
      </w:r>
    </w:p>
    <w:p>
      <w:pPr>
        <w:spacing w:after="80" w:line="360" w:lineRule="exact"/>
      </w:pPr>
      <w:r>
        <w:rPr>
          <w:rFonts w:ascii="微软雅黑" w:hAnsi="微软雅黑" w:eastAsia="微软雅黑"/>
          <w:b w:val="0"/>
          <w:sz w:val="21"/>
        </w:rPr>
        <w:t>Kim等（2024）在Educational Psychology Review发表的系统综述指出：HRV在测量教育环境中的应激水平时具有中等程度的共时效度，可穿戴设备因佩戴便捷、可连续监测而成为首选[16]。Bloomfield等（2024）利用可穿戴设备的大一学生数据进一步证明，HRV每增加1毫秒，高度应激几率降低1.2%——睡眠HRV是可穿戴预测应激的有效指标[17]。</w:t>
      </w:r>
    </w:p>
    <w:p>
      <w:pPr>
        <w:spacing w:after="80" w:line="360" w:lineRule="exact"/>
      </w:pPr>
      <w:r>
        <w:rPr>
          <w:rFonts w:ascii="微软雅黑" w:hAnsi="微软雅黑" w:eastAsia="微软雅黑"/>
          <w:b w:val="0"/>
          <w:sz w:val="21"/>
        </w:rPr>
        <w:t>Al-Hamad等（2024）对27项可穿戴AI研究的荟萃分析确认：SVM和CNN分别是传统和深度模型中表现最好的应激分类算法，但大多数研究集中在实验室环境而非真实生活场景[18]。2026年发表的大学生可穿戴应激监测范围综述同样指出：腕戴式设备是使用最广泛的传感器平台，皮肤电活动（EDA）是最有信息量的信号，但研究的生态效度仍然不足[19]。Laborde等（2017）和Shaffer与Ginsberg（2017）分别提出了HRV研究的实验设计与指标常模的方法论标准[20,21]。</w:t>
      </w:r>
    </w:p>
    <w:p>
      <w:pPr>
        <w:spacing w:after="80" w:line="360" w:lineRule="exact"/>
      </w:pPr>
      <w:r>
        <w:rPr>
          <w:rFonts w:ascii="微软雅黑" w:hAnsi="微软雅黑" w:eastAsia="微软雅黑"/>
          <w:b/>
          <w:color w:val="1A2233"/>
          <w:sz w:val="21"/>
        </w:rPr>
        <w:t>小结与产品启示：</w:t>
      </w:r>
      <w:r>
        <w:rPr>
          <w:rFonts w:ascii="微软雅黑" w:hAnsi="微软雅黑" w:eastAsia="微软雅黑"/>
          <w:b w:val="0"/>
          <w:sz w:val="21"/>
        </w:rPr>
        <w:t>上述证据链条共同表明——(a)大学生的应激水平是可被可穿戴设备持续监测的；(b)慢性应激损害决策质量，进而影响职业路径选择的合理性；(c)但尚无任何研究将可穿戴生理监测纳入职业规划的决策辅助框架。这构成了"可穿戴设备+应激归因→赛道风险预警"的产品设计的学术创新空间。</w:t>
      </w:r>
    </w:p>
    <w:p>
      <w:pPr>
        <w:pStyle w:val="Heading1"/>
      </w:pPr>
      <w:r>
        <w:rPr>
          <w:rFonts w:ascii="微软雅黑" w:hAnsi="微软雅黑" w:eastAsia="微软雅黑"/>
        </w:rPr>
        <w:t>四、主题二：家庭因素对职业选择的多维影响</w:t>
      </w:r>
    </w:p>
    <w:p>
      <w:pPr>
        <w:pStyle w:val="Heading2"/>
      </w:pPr>
      <w:r>
        <w:rPr>
          <w:rFonts w:ascii="微软雅黑" w:hAnsi="微软雅黑" w:eastAsia="微软雅黑"/>
        </w:rPr>
        <w:t>4.1 家庭社会经济地位（SES）与职业探索</w:t>
      </w:r>
    </w:p>
    <w:p>
      <w:pPr>
        <w:spacing w:after="80" w:line="360" w:lineRule="exact"/>
      </w:pPr>
      <w:r>
        <w:rPr>
          <w:rFonts w:ascii="微软雅黑" w:hAnsi="微软雅黑" w:eastAsia="微软雅黑"/>
          <w:b w:val="0"/>
          <w:sz w:val="21"/>
        </w:rPr>
        <w:t>家庭社会经济地位（SES）通常从父母职业、父母受教育程度和家庭收入三方面测量[22]。王昳玥等（2021）基于550名大学生的问卷数据发现：家庭SES通过心理资本（希望、韧性、乐观、自我效能）的完全中介效应间接影响职业探索水平，间接效应值（ab）为0.076（SE=0.209），95%置信区间为[0.037, 0.118][23]。换言之，低SES学生的职业探索不足，根源并非直接的经济弱势，而是心理资本的损耗——缺乏希望感和自我效能使得他们"连尝试探索的勇气都没有"。</w:t>
      </w:r>
    </w:p>
    <w:p>
      <w:pPr>
        <w:spacing w:after="80" w:line="360" w:lineRule="exact"/>
      </w:pPr>
      <w:r>
        <w:rPr>
          <w:rFonts w:ascii="微软雅黑" w:hAnsi="微软雅黑" w:eastAsia="微软雅黑"/>
          <w:b w:val="0"/>
          <w:sz w:val="21"/>
        </w:rPr>
        <w:t>曲可佳和邹泓（2013）的实证研究进一步揭示了传导路径：父母受教育水平→教养行为→子女职业探索。受教育水平高的父母对青少年的发展有高期望，这种期望内化到教养行为中，进而主动参与子女的学业活动。高收入家庭中的青少年有更高的职业抱负、追求有威望的职业[24]。相反，低家庭收入的青少年表现出较低的学业预期、职业抱负及职业成就。</w:t>
      </w:r>
    </w:p>
    <w:p>
      <w:pPr>
        <w:pStyle w:val="Heading2"/>
      </w:pPr>
      <w:r>
        <w:rPr>
          <w:rFonts w:ascii="微软雅黑" w:hAnsi="微软雅黑" w:eastAsia="微软雅黑"/>
        </w:rPr>
        <w:t>4.2 父母期望与教养方式的传导机制</w:t>
      </w:r>
    </w:p>
    <w:p>
      <w:pPr>
        <w:spacing w:after="80" w:line="360" w:lineRule="exact"/>
      </w:pPr>
      <w:r>
        <w:rPr>
          <w:rFonts w:ascii="微软雅黑" w:hAnsi="微软雅黑" w:eastAsia="微软雅黑"/>
          <w:b w:val="0"/>
          <w:sz w:val="21"/>
        </w:rPr>
        <w:t>Zhou等（2023）基于3196名中国青少年的三年追踪数据的交叉滞后面板分析揭示了父母职业期望与青少年生涯发展之间的动态交互效应：父母职业期望与生涯适应力之间存在跨时间双向预测关系；而“与职业相关的父母支持”（career-related parental support）在两者之间起中介作用[25]。Qi等（2024）对2540名高中生的纵向追踪发现：父母职业期望通过青少年的职业探索对职业抱负产生间接影响，直接效应不显著——即父母直接指令无法改变子女的职业抱负，只有通过激发子女的主动探索行为才有效[26]。</w:t>
      </w:r>
    </w:p>
    <w:p>
      <w:pPr>
        <w:spacing w:after="80" w:line="360" w:lineRule="exact"/>
      </w:pPr>
      <w:r>
        <w:rPr>
          <w:rFonts w:ascii="微软雅黑" w:hAnsi="微软雅黑" w:eastAsia="微软雅黑"/>
          <w:b w:val="0"/>
          <w:sz w:val="21"/>
        </w:rPr>
        <w:t>Zhu等（2023）通过对523名中国大学生的研究，区分了两类父母职业期望对职业决策犹豫的差异化影响：一是"回报/声望期望"（reward/prestige），二是"舒适/稳定期望"（comfort/stability）。结果发现存在显著的性别调节效应——女性的职业决策犹豫同时受两类期望的交互影响，而男性的决策犹豫仅受"舒适/稳定期望"的单独影响[27]。这一发现说明"家庭压力"对学生职业选择的影响并非简单的"有/无"，而是多维的，且存在性别差异。</w:t>
      </w:r>
    </w:p>
    <w:p>
      <w:pPr>
        <w:spacing w:after="80" w:line="360" w:lineRule="exact"/>
      </w:pPr>
      <w:r>
        <w:rPr>
          <w:rFonts w:ascii="微软雅黑" w:hAnsi="微软雅黑" w:eastAsia="微软雅黑"/>
          <w:b w:val="0"/>
          <w:sz w:val="21"/>
        </w:rPr>
        <w:t>Zhou等（2024）对中国大学生的"过度父母期望"进行的纵向追踪发现：感知到的父母职业期望与青少年职业发展之间存在倒U型关系——适度的期望具有促进作用，但过高的期望会通过增加内化问题而阻碍职业发展[28]。</w:t>
      </w:r>
    </w:p>
    <w:p>
      <w:pPr>
        <w:pStyle w:val="Heading2"/>
      </w:pPr>
      <w:r>
        <w:rPr>
          <w:rFonts w:ascii="微软雅黑" w:hAnsi="微软雅黑" w:eastAsia="微软雅黑"/>
        </w:rPr>
        <w:t>4.3 家庭文化资本与社会资本的独立效应</w:t>
      </w:r>
    </w:p>
    <w:p>
      <w:pPr>
        <w:spacing w:after="80" w:line="360" w:lineRule="exact"/>
      </w:pPr>
      <w:r>
        <w:rPr>
          <w:rFonts w:ascii="微软雅黑" w:hAnsi="微软雅黑" w:eastAsia="微软雅黑"/>
          <w:b w:val="0"/>
          <w:sz w:val="21"/>
        </w:rPr>
        <w:t>周宇香（2020）基于全国性"建档立卡贫困大学生"数据发现，78.3%的贫困在校生偏好体制内就业，但实际进入体制的比例仅为45.4%——期望与现实之间存在结构性断裂。家庭约束还通过父母明确期待（"离家近""考公务员"）和照护责任（照顾患病家人、打理家务）压缩职业选择空间[29]。朱春楠等（2021）的研究表明家庭藏书量是影响专业知识素养的最显著因素，解释力超过家庭生活水平——文化再生产在高等教育阶段依然有效[30]。</w:t>
      </w:r>
    </w:p>
    <w:p>
      <w:pPr>
        <w:spacing w:after="80" w:line="360" w:lineRule="exact"/>
      </w:pPr>
      <w:r>
        <w:rPr>
          <w:rFonts w:ascii="微软雅黑" w:hAnsi="微软雅黑" w:eastAsia="微软雅黑"/>
          <w:b w:val="0"/>
          <w:sz w:val="21"/>
        </w:rPr>
        <w:t>Li等（2012）在Journal of Development Economics上的研究利用CCSS大规模数据——以高考成绩作为能力控制变量——发现拥有"干部父母"的毕业生起薪溢价高达15%（β=0.150, p&lt;0.01），且这一溢价不能由大学质量、专业选择和在校人力资本积累解释。作者认为最可能的机制是父母的社会网络（直接或间接的雇主联系）和更好的岗位信息获取[31]。边燕杰等（2008）的社会资本-人力资本双重考察同样发现，父亲为国家机关干部的大学生选择政府部门就业的几率高2.67倍[32]。刘保中等（2021）基于全国20所高校数据，通过先赋-后致理论模型的检验证明，先赋性和后致性因素共同影响就业能力，但后致性因素影响更大[33]。</w:t>
      </w:r>
    </w:p>
    <w:p>
      <w:pPr>
        <w:spacing w:after="80" w:line="360" w:lineRule="exact"/>
      </w:pPr>
      <w:r>
        <w:rPr>
          <w:rFonts w:ascii="微软雅黑" w:hAnsi="微软雅黑" w:eastAsia="微软雅黑"/>
          <w:b/>
          <w:color w:val="1A2233"/>
          <w:sz w:val="21"/>
        </w:rPr>
        <w:t>小结与产品启示：</w:t>
      </w:r>
      <w:r>
        <w:rPr>
          <w:rFonts w:ascii="微软雅黑" w:hAnsi="微软雅黑" w:eastAsia="微软雅黑"/>
          <w:b w:val="0"/>
          <w:sz w:val="21"/>
        </w:rPr>
        <w:t>上述研究揭示了家庭因素影响职业选择的三重机制——经济资本决定"能否脱产备考"，文化资本塑造"知道该往哪走"，社会资本提供"谁能帮我走"。值得注意的是，(a)父母期望通过激发子女的主动探索行为才有效（而非直接指令）；(b)后致性因素的效应大于先赋性因素。这意味着产品的"家庭约束"维度设计需同时纳入客观限制条件（家庭经济/地域/父母期待）和主观能动性空间（告知弱势群体"通过个人努力可突破哪些限制"），而非简单标签化或宿命化。</w:t>
      </w:r>
    </w:p>
    <w:p>
      <w:pPr>
        <w:pStyle w:val="Heading1"/>
      </w:pPr>
      <w:r>
        <w:rPr>
          <w:rFonts w:ascii="微软雅黑" w:hAnsi="微软雅黑" w:eastAsia="微软雅黑"/>
        </w:rPr>
        <w:t>五、主题三：职业规划中"自主性"缺失的结构性困境</w:t>
      </w:r>
    </w:p>
    <w:p>
      <w:pPr>
        <w:pStyle w:val="Heading2"/>
      </w:pPr>
      <w:r>
        <w:rPr>
          <w:rFonts w:ascii="微软雅黑" w:hAnsi="微软雅黑" w:eastAsia="微软雅黑"/>
        </w:rPr>
        <w:t>5.1 从《金榜题名之后》到"小镇做题家"</w:t>
      </w:r>
    </w:p>
    <w:p>
      <w:pPr>
        <w:spacing w:after="80" w:line="360" w:lineRule="exact"/>
      </w:pPr>
      <w:r>
        <w:rPr>
          <w:rFonts w:ascii="微软雅黑" w:hAnsi="微软雅黑" w:eastAsia="微软雅黑"/>
          <w:b w:val="0"/>
          <w:sz w:val="21"/>
        </w:rPr>
        <w:t>郑雅君（2023）《金榜题名之后：大学生出路分化之谜》基于对北京和上海两所顶尖高校62名毕业生的深度访谈（每人3-6小时），提出了中国精英大学中两种"上大学"的实践模式[34]：目标掌控模式和直觉依赖模式。前者有意识地树立生涯目标并优化资源配置去趋近目标；后者则主要依靠直觉和旧有习惯来组织大学生活，在陌生的场域中难以定位自我。核心发现是：这两种模式不是个人能力的差异，而是不同阶层习性的产物。</w:t>
      </w:r>
    </w:p>
    <w:p>
      <w:pPr>
        <w:spacing w:after="80" w:line="360" w:lineRule="exact"/>
      </w:pPr>
      <w:r>
        <w:rPr>
          <w:rFonts w:ascii="微软雅黑" w:hAnsi="微软雅黑" w:eastAsia="微软雅黑"/>
          <w:b w:val="0"/>
          <w:sz w:val="21"/>
        </w:rPr>
        <w:t>郑雅君进一步区分了两重文化障碍：文化脱嵌（对物理和环境文化的短期疏离——如不会选课、不懂电脑、融不入社交圈）和文化迷失（场域转换造成的自我认知冲突和行动目标迷失，是长期困境）。对于来自弱势家庭的学生，"每一次选择都被安排"的应试轨道使他们缺乏自主决策的训练，进入自由选择的大学后反而丧失方向感[34]。这直接印证了拉鲁（2018）的经典民族志发现——不同阶层的教养方式培养了截然不同的"掌控感"：中产家庭的"协作培养"（concerted cultivation）vs. 工人阶级家庭的"自然成长"（accomplishment of natural growth）[35]。</w:t>
      </w:r>
    </w:p>
    <w:p>
      <w:pPr>
        <w:pStyle w:val="Heading2"/>
      </w:pPr>
      <w:r>
        <w:rPr>
          <w:rFonts w:ascii="微软雅黑" w:hAnsi="微软雅黑" w:eastAsia="微软雅黑"/>
        </w:rPr>
        <w:t>5.2 直觉依赖与"被选择"的出路分化</w:t>
      </w:r>
    </w:p>
    <w:p>
      <w:pPr>
        <w:spacing w:after="80" w:line="360" w:lineRule="exact"/>
      </w:pPr>
      <w:r>
        <w:rPr>
          <w:rFonts w:ascii="微软雅黑" w:hAnsi="微软雅黑" w:eastAsia="微软雅黑"/>
          <w:b w:val="0"/>
          <w:sz w:val="21"/>
        </w:rPr>
        <w:t>郑雅君的研究揭示，直觉依赖模式的典型表现并非懒惰或能力不足，而是一种认知意义上的无意识状态——以为大学的主要任务就是好好学习，参与实习实践是耽误学习，但没有想清楚搞好成绩是为什么。这种状态来自应试教育体制的结构性塑造：高中时期早晨6点到教室，晚上11点下自习，作业又多、考试又勤，根本没办法考虑别的事——当外部指令撤销后，自我内部指令系统处于空白状态[34]。</w:t>
      </w:r>
    </w:p>
    <w:p>
      <w:pPr>
        <w:spacing w:after="80" w:line="360" w:lineRule="exact"/>
      </w:pPr>
      <w:r>
        <w:rPr>
          <w:rFonts w:ascii="微软雅黑" w:hAnsi="微软雅黑" w:eastAsia="微软雅黑"/>
          <w:b w:val="0"/>
          <w:sz w:val="21"/>
        </w:rPr>
        <w:t>布尔迪厄和帕斯隆（1964/2002）的文化再生产理论提供了宏观解释框架：学校教育是一个有利于特权阶级的"游戏场"，优势阶层的学生继承了与学校期待一致的"文化任意性"（cultural arbitrary），从而在"隐性课程"中获得不成比例的回报[36]。帕特南（2015/2017）在美国语境中揭示了同样的趋势：机会平等的神话之下，"我们的孩子"被阶级鸿沟分割开来[37]。</w:t>
      </w:r>
    </w:p>
    <w:p>
      <w:pPr>
        <w:pStyle w:val="Heading2"/>
      </w:pPr>
      <w:r>
        <w:rPr>
          <w:rFonts w:ascii="微软雅黑" w:hAnsi="微软雅黑" w:eastAsia="微软雅黑"/>
        </w:rPr>
        <w:t>5.3 父母期望的隐性压力与性别差异</w:t>
      </w:r>
    </w:p>
    <w:p>
      <w:pPr>
        <w:spacing w:after="80" w:line="360" w:lineRule="exact"/>
      </w:pPr>
      <w:r>
        <w:rPr>
          <w:rFonts w:ascii="微软雅黑" w:hAnsi="微软雅黑" w:eastAsia="微软雅黑"/>
          <w:b w:val="0"/>
          <w:sz w:val="21"/>
        </w:rPr>
        <w:t>Zhu等（2023）区分父母对子女"事业成功"和"生活安稳"两种期望，发现中国大学生普遍受到前者的经济压力和后者的人生束缚的双重配置。女性的职业决策犹豫同时受到两类期望的交互影响——父母既希望女儿"有出息"又担心"太辛苦"[27]。Zhou等（2024）发现感知到的父母期望存在倒U型效应——适度的期望促进发展，过高("凡事都要最好")引发内化问题和退缩[28]。Qi等（2024）的纵向证据表明这种影响不是单次的而是持续的——它通过青少年的职业探索行为逐年累积[26]。</w:t>
      </w:r>
    </w:p>
    <w:p>
      <w:pPr>
        <w:spacing w:after="80" w:line="360" w:lineRule="exact"/>
      </w:pPr>
      <w:r>
        <w:rPr>
          <w:rFonts w:ascii="微软雅黑" w:hAnsi="微软雅黑" w:eastAsia="微软雅黑"/>
          <w:b/>
          <w:color w:val="1A2233"/>
          <w:sz w:val="21"/>
        </w:rPr>
        <w:t>小结与产品启示：</w:t>
      </w:r>
      <w:r>
        <w:rPr>
          <w:rFonts w:ascii="微软雅黑" w:hAnsi="微软雅黑" w:eastAsia="微软雅黑"/>
          <w:b w:val="0"/>
          <w:sz w:val="21"/>
        </w:rPr>
        <w:t>上述证据揭示了大学生职业规划中自主性缺失的两个层面：(a)制度层面——应试教育体制使"目标掌控"成为优势阶层的直觉而弱势阶层的奢侈品；(b)关系层面——父母的"双重期望"同时施压又提供无意识的庇护，使学生在外部指令撤除后丧失自我决策能力。产品设计的"目的先行"环节因此具有直接的学术依据——强制性的"你究竟为了什么做规划"的元认知激活，是对"直觉依赖模式"的结构性干预。同时，"前人案例参照"功能旨在替代"没人告诉你的规则"，弥补弱势群体的信息不对称。</w:t>
      </w:r>
    </w:p>
    <w:p>
      <w:pPr>
        <w:pStyle w:val="Heading1"/>
      </w:pPr>
      <w:r>
        <w:rPr>
          <w:rFonts w:ascii="微软雅黑" w:hAnsi="微软雅黑" w:eastAsia="微软雅黑"/>
        </w:rPr>
        <w:t>六、研究结论与产品设计启示</w:t>
      </w:r>
    </w:p>
    <w:p>
      <w:pPr>
        <w:spacing w:after="160" w:line="360" w:lineRule="exact"/>
      </w:pPr>
      <w:r>
        <w:rPr>
          <w:rFonts w:ascii="微软雅黑" w:hAnsi="微软雅黑" w:eastAsia="微软雅黑"/>
          <w:b w:val="0"/>
          <w:sz w:val="21"/>
        </w:rPr>
        <w:t>基于以上文献回顾，本研究得出以下核心结论与对应的产品设计启示：</w:t>
      </w:r>
    </w:p>
    <w:p>
      <w:pPr>
        <w:spacing w:after="80" w:line="360" w:lineRule="exact"/>
        <w:ind w:left="283"/>
      </w:pPr>
      <w:r>
        <w:rPr>
          <w:rFonts w:ascii="微软雅黑" w:hAnsi="微软雅黑" w:eastAsia="微软雅黑"/>
          <w:b w:val="0"/>
          <w:sz w:val="21"/>
        </w:rPr>
        <w:t>[1,2,3,4] 自主性（autonomy）是自我决定理论三大基本需求之一，自主性满足直接预测决策质量和行为持续性。→ 产品必须包含"规划目的选择"（Step 0），让学生在起点明确"我为什么做规划"。</w:t>
      </w:r>
    </w:p>
    <w:p>
      <w:pPr>
        <w:spacing w:after="80" w:line="360" w:lineRule="exact"/>
        <w:ind w:left="283"/>
      </w:pPr>
      <w:r>
        <w:rPr>
          <w:rFonts w:ascii="微软雅黑" w:hAnsi="微软雅黑" w:eastAsia="微软雅黑"/>
          <w:b w:val="0"/>
          <w:sz w:val="21"/>
        </w:rPr>
        <w:t>[5,6,7,8,9] 生涯建构理论强调"人生主题"是职业人格形成的核心驱动力，路径推演应强化对"未来工作自我"的认知建构，而非仅仅匹配现有职业标签。→ 产品需提供多赛道可视化对比，刺激主动探索。</w:t>
      </w:r>
    </w:p>
    <w:p>
      <w:pPr>
        <w:spacing w:after="80" w:line="360" w:lineRule="exact"/>
        <w:ind w:left="283"/>
      </w:pPr>
      <w:r>
        <w:rPr>
          <w:rFonts w:ascii="微软雅黑" w:hAnsi="微软雅黑" w:eastAsia="微软雅黑"/>
          <w:b w:val="0"/>
          <w:sz w:val="21"/>
        </w:rPr>
        <w:t>[12,13,14,15] 可穿戴HRV监测已具备学术可行性，慢性应激损害决策质量，但尚无研究将其纳入职业规划辅助。→ "可穿戴+应激归因+赛道风险预警"是行业首创的设计创新空间。</w:t>
      </w:r>
    </w:p>
    <w:p>
      <w:pPr>
        <w:spacing w:after="80" w:line="360" w:lineRule="exact"/>
        <w:ind w:left="283"/>
      </w:pPr>
      <w:r>
        <w:rPr>
          <w:rFonts w:ascii="微软雅黑" w:hAnsi="微软雅黑" w:eastAsia="微软雅黑"/>
          <w:b w:val="0"/>
          <w:sz w:val="21"/>
        </w:rPr>
        <w:t>[23,24,25,26,27] 家庭SES通过心理资本间接影响职业探索；父母期望通过激发子女主动探索才有效；不同类型期望（声望vs.稳定）的影响路径不同。→ "家庭约束"维度需多维建模（经济+期望+文化资本），而非单一标签。</w:t>
      </w:r>
    </w:p>
    <w:p>
      <w:pPr>
        <w:spacing w:after="80" w:line="360" w:lineRule="exact"/>
        <w:ind w:left="283"/>
      </w:pPr>
      <w:r>
        <w:rPr>
          <w:rFonts w:ascii="微软雅黑" w:hAnsi="微软雅黑" w:eastAsia="微软雅黑"/>
          <w:b w:val="0"/>
          <w:sz w:val="21"/>
        </w:rPr>
        <w:t>[29,30,31,32,33] 家庭文化资本和社会资本独立地影响就业出路；后致性因素效应大于先赋性因素。→ "客观约束筛查"后应输出"可操作的个人成长路径"，而非宿命化的"你的背景不利于XX"。</w:t>
      </w:r>
    </w:p>
    <w:p>
      <w:pPr>
        <w:spacing w:after="80" w:line="360" w:lineRule="exact"/>
        <w:ind w:left="283"/>
      </w:pPr>
      <w:r>
        <w:rPr>
          <w:rFonts w:ascii="微软雅黑" w:hAnsi="微软雅黑" w:eastAsia="微软雅黑"/>
          <w:b w:val="0"/>
          <w:sz w:val="21"/>
        </w:rPr>
        <w:t>[34,35,36,37] "小镇做题家"的困境根源于"直觉依赖模式"——外部指令撤除后的内部指令空白。→ "目的先行"是对该认知模式的结构性干预；"前人案例参照"弥补弱势群体的规则空白。</w:t>
      </w:r>
    </w:p>
    <w:p>
      <w:pPr>
        <w:spacing w:after="160" w:line="360" w:lineRule="exact"/>
      </w:pPr>
      <w:r>
        <w:rPr>
          <w:rFonts w:ascii="微软雅黑" w:hAnsi="微软雅黑" w:eastAsia="微软雅黑"/>
          <w:b w:val="0"/>
          <w:sz w:val="21"/>
        </w:rPr>
      </w:r>
    </w:p>
    <w:p>
      <w:pPr>
        <w:spacing w:after="80" w:line="360" w:lineRule="exact"/>
      </w:pPr>
      <w:r>
        <w:rPr>
          <w:rFonts w:ascii="微软雅黑" w:hAnsi="微软雅黑" w:eastAsia="微软雅黑"/>
          <w:b/>
          <w:sz w:val="21"/>
        </w:rPr>
        <w:t>综上，产品"目的先行→客观约束→案例参照→任务生成"的四阶段架构并非经验直觉，而是基于SDT（自主性启动）、CCT（生涯适应力建构）、家庭资本理论（结构性约束去蔽）和文化再生产理论（隐性规则显性化）的学术综合设计。</w:t>
      </w:r>
    </w:p>
    <w:p>
      <w:pPr>
        <w:pStyle w:val="Heading1"/>
      </w:pPr>
      <w:r>
        <w:rPr>
          <w:rFonts w:ascii="微软雅黑" w:hAnsi="微软雅黑" w:eastAsia="微软雅黑"/>
        </w:rPr>
        <w:t>七、参考文献清单</w:t>
      </w:r>
    </w:p>
    <w:p>
      <w:pPr>
        <w:spacing w:after="20" w:line="360" w:lineRule="exact"/>
      </w:pPr>
      <w:r>
        <w:rPr>
          <w:rFonts w:ascii="微软雅黑" w:hAnsi="微软雅黑" w:eastAsia="微软雅黑"/>
          <w:b w:val="0"/>
          <w:color w:val="8E94A8"/>
          <w:sz w:val="18"/>
        </w:rPr>
        <w:t>[1] Ryan, R.M. &amp; Deci, E.L. (2017). Self-determination theory: Basic psychological needs in motivation, development, and wellness. Guilford Press.</w:t>
      </w:r>
    </w:p>
    <w:p>
      <w:pPr>
        <w:spacing w:after="20" w:line="360" w:lineRule="exact"/>
      </w:pPr>
      <w:r>
        <w:rPr>
          <w:rFonts w:ascii="微软雅黑" w:hAnsi="微软雅黑" w:eastAsia="微软雅黑"/>
          <w:b w:val="0"/>
          <w:color w:val="8E94A8"/>
          <w:sz w:val="18"/>
        </w:rPr>
        <w:t>[2] Cahyasari, A.C. (2024). Pengaruh Determinasi Diri Terhadap Pengambilan Keputusan Karir Pada Mahasiswa Tingkat Akhir [Self-determination influence on career decision-making in final-year students]. Universitas Muhammadiyah Malang.</w:t>
      </w:r>
    </w:p>
    <w:p>
      <w:pPr>
        <w:spacing w:after="20" w:line="360" w:lineRule="exact"/>
      </w:pPr>
      <w:r>
        <w:rPr>
          <w:rFonts w:ascii="微软雅黑" w:hAnsi="微软雅黑" w:eastAsia="微软雅黑"/>
          <w:b w:val="0"/>
          <w:color w:val="8E94A8"/>
          <w:sz w:val="18"/>
        </w:rPr>
        <w:t>[3] Lu, L., Gao, X., &amp; Xiao, Y. (2024). Impact of college students' perceived teacher support on career exploration: A self-determination theory approach. Innovations in Education and Teaching International, 61(3), 528-540.</w:t>
      </w:r>
    </w:p>
    <w:p>
      <w:pPr>
        <w:spacing w:after="20" w:line="360" w:lineRule="exact"/>
      </w:pPr>
      <w:r>
        <w:rPr>
          <w:rFonts w:ascii="微软雅黑" w:hAnsi="微软雅黑" w:eastAsia="微软雅黑"/>
          <w:b w:val="0"/>
          <w:color w:val="8E94A8"/>
          <w:sz w:val="18"/>
        </w:rPr>
        <w:t>[4] 陆凡冰等. (2024). 自我决定理论下自我认知对大学生就业意愿的影响. 文化传播, 2024(12).</w:t>
      </w:r>
    </w:p>
    <w:p>
      <w:pPr>
        <w:spacing w:after="20" w:line="360" w:lineRule="exact"/>
      </w:pPr>
      <w:r>
        <w:rPr>
          <w:rFonts w:ascii="微软雅黑" w:hAnsi="微软雅黑" w:eastAsia="微软雅黑"/>
          <w:b w:val="0"/>
          <w:color w:val="8E94A8"/>
          <w:sz w:val="18"/>
        </w:rPr>
        <w:t>[5] Savickas, M.L. (2002). Career construction: A developmental theory of vocational behavior. In D. Brown (Ed.), Career choice and development (4th ed., pp. 149-205). Jossey-Bass.</w:t>
      </w:r>
    </w:p>
    <w:p>
      <w:pPr>
        <w:spacing w:after="20" w:line="360" w:lineRule="exact"/>
      </w:pPr>
      <w:r>
        <w:rPr>
          <w:rFonts w:ascii="微软雅黑" w:hAnsi="微软雅黑" w:eastAsia="微软雅黑"/>
          <w:b w:val="0"/>
          <w:color w:val="8E94A8"/>
          <w:sz w:val="18"/>
        </w:rPr>
        <w:t>[6] Savickas, M.L. (2005). The theory and practice of career construction. In S.D. Brown &amp; R.W. Lent (Eds.), Career development and counseling (pp. 42-70). Wiley.</w:t>
      </w:r>
    </w:p>
    <w:p>
      <w:pPr>
        <w:spacing w:after="20" w:line="360" w:lineRule="exact"/>
      </w:pPr>
      <w:r>
        <w:rPr>
          <w:rFonts w:ascii="微软雅黑" w:hAnsi="微软雅黑" w:eastAsia="微软雅黑"/>
          <w:b w:val="0"/>
          <w:color w:val="8E94A8"/>
          <w:sz w:val="18"/>
        </w:rPr>
        <w:t>[7] Savickas, M.L. &amp; Porfeli, E.J. (2012). Career Adapt-Abilities Scale: Construction, reliability, and measurement equivalence across 13 countries. Journal of Vocational Behavior, 80(3), 661-673.</w:t>
      </w:r>
    </w:p>
    <w:p>
      <w:pPr>
        <w:spacing w:after="20" w:line="360" w:lineRule="exact"/>
      </w:pPr>
      <w:r>
        <w:rPr>
          <w:rFonts w:ascii="微软雅黑" w:hAnsi="微软雅黑" w:eastAsia="微软雅黑"/>
          <w:b w:val="0"/>
          <w:color w:val="8E94A8"/>
          <w:sz w:val="18"/>
        </w:rPr>
        <w:t>[8] Predictors of Career Adaptability among Chinese Higher Education Students: A Systematic Literature Review. (2025). International Journal of Learning, Teaching and Educational Research.</w:t>
      </w:r>
    </w:p>
    <w:p>
      <w:pPr>
        <w:spacing w:after="20" w:line="360" w:lineRule="exact"/>
      </w:pPr>
      <w:r>
        <w:rPr>
          <w:rFonts w:ascii="微软雅黑" w:hAnsi="微软雅黑" w:eastAsia="微软雅黑"/>
          <w:b w:val="0"/>
          <w:color w:val="8E94A8"/>
          <w:sz w:val="18"/>
        </w:rPr>
        <w:t>[9] Gao, L., Li, Y., &amp; Pang, W. (2025). Career adaptability and graduates' mental health: The mediating role of occupational future time perspective in higher education in China. BMC Psychology, 13(1), 158.</w:t>
      </w:r>
    </w:p>
    <w:p>
      <w:pPr>
        <w:spacing w:after="20" w:line="360" w:lineRule="exact"/>
      </w:pPr>
      <w:r>
        <w:rPr>
          <w:rFonts w:ascii="微软雅黑" w:hAnsi="微软雅黑" w:eastAsia="微软雅黑"/>
          <w:b w:val="0"/>
          <w:color w:val="8E94A8"/>
          <w:sz w:val="18"/>
        </w:rPr>
        <w:t>[10] Gao, L., Li, Y., &amp; Pang, W. (2025). Career adaptability and graduates' mental health. BMC Psychology, 13(1), 158. [同文献9]</w:t>
      </w:r>
    </w:p>
    <w:p>
      <w:pPr>
        <w:spacing w:after="20" w:line="360" w:lineRule="exact"/>
      </w:pPr>
      <w:r>
        <w:rPr>
          <w:rFonts w:ascii="微软雅黑" w:hAnsi="微软雅黑" w:eastAsia="微软雅黑"/>
          <w:b w:val="0"/>
          <w:color w:val="8E94A8"/>
          <w:sz w:val="18"/>
        </w:rPr>
        <w:t>[11] Chen, L. &amp; Zhang, R.C. (2024). The influence of career construction theory on college students' career decision-making difficulties and gender differences. Journal of Educational and Social Research, 14(6), 1.</w:t>
      </w:r>
    </w:p>
    <w:p>
      <w:pPr>
        <w:spacing w:after="20" w:line="360" w:lineRule="exact"/>
      </w:pPr>
      <w:r>
        <w:rPr>
          <w:rFonts w:ascii="微软雅黑" w:hAnsi="微软雅黑" w:eastAsia="微软雅黑"/>
          <w:b w:val="0"/>
          <w:color w:val="8E94A8"/>
          <w:sz w:val="18"/>
        </w:rPr>
        <w:t>[12] Benitez-Agudelo, J.C. et al. (2025). Longitudinal effects of stress in an academic context on psychological well-being, physiological markers, health behaviors, and academic performance. BMC Psychology, 13, 03041.</w:t>
      </w:r>
    </w:p>
    <w:p>
      <w:pPr>
        <w:spacing w:after="20" w:line="360" w:lineRule="exact"/>
      </w:pPr>
      <w:r>
        <w:rPr>
          <w:rFonts w:ascii="微软雅黑" w:hAnsi="微软雅黑" w:eastAsia="微软雅黑"/>
          <w:b w:val="0"/>
          <w:color w:val="8E94A8"/>
          <w:sz w:val="18"/>
        </w:rPr>
        <w:t>[13] Clemente-Suarez, V.J. et al. (2026). Psychophysiological and emotional stress responses in higher education: A neuroeducational approach. Trends in Neuroscience and Education.</w:t>
      </w:r>
    </w:p>
    <w:p>
      <w:pPr>
        <w:spacing w:after="20" w:line="360" w:lineRule="exact"/>
      </w:pPr>
      <w:r>
        <w:rPr>
          <w:rFonts w:ascii="微软雅黑" w:hAnsi="微软雅黑" w:eastAsia="微软雅黑"/>
          <w:b w:val="0"/>
          <w:color w:val="8E94A8"/>
          <w:sz w:val="18"/>
        </w:rPr>
        <w:t>[14] Kuhnell, R. et al. (2020). Assessing the association of university stress and physiological reactivity with decision-making among students. Stress, 23(1): 1-8.</w:t>
      </w:r>
    </w:p>
    <w:p>
      <w:pPr>
        <w:spacing w:after="20" w:line="360" w:lineRule="exact"/>
      </w:pPr>
      <w:r>
        <w:rPr>
          <w:rFonts w:ascii="微软雅黑" w:hAnsi="微软雅黑" w:eastAsia="微软雅黑"/>
          <w:b w:val="0"/>
          <w:color w:val="8E94A8"/>
          <w:sz w:val="18"/>
        </w:rPr>
        <w:t>[15] Unobtrusive stress detection using wearables: Application and challenges in a university setting. (2025). Frontiers in Computer Science, 7: 1575404.</w:t>
      </w:r>
    </w:p>
    <w:p>
      <w:pPr>
        <w:spacing w:after="20" w:line="360" w:lineRule="exact"/>
      </w:pPr>
      <w:r>
        <w:rPr>
          <w:rFonts w:ascii="微软雅黑" w:hAnsi="微软雅黑" w:eastAsia="微软雅黑"/>
          <w:b w:val="0"/>
          <w:color w:val="8E94A8"/>
          <w:sz w:val="18"/>
        </w:rPr>
        <w:t>[16] Kim, H.J., Park, Y., &amp; Lee, J. (2024). The validity of heart rate variability (HRV) in educational research. Educational Psychology Review, 36.</w:t>
      </w:r>
    </w:p>
    <w:p>
      <w:pPr>
        <w:spacing w:after="20" w:line="360" w:lineRule="exact"/>
      </w:pPr>
      <w:r>
        <w:rPr>
          <w:rFonts w:ascii="微软雅黑" w:hAnsi="微软雅黑" w:eastAsia="微软雅黑"/>
          <w:b w:val="0"/>
          <w:color w:val="8E94A8"/>
          <w:sz w:val="18"/>
        </w:rPr>
        <w:t>[17] Bloomfield, L.S.P. et al. (2024). Predicting stress in first-year college students using sleep data from wearable devices. PLoS ONE, 19(4): e0299795.</w:t>
      </w:r>
    </w:p>
    <w:p>
      <w:pPr>
        <w:spacing w:after="20" w:line="360" w:lineRule="exact"/>
      </w:pPr>
      <w:r>
        <w:rPr>
          <w:rFonts w:ascii="微软雅黑" w:hAnsi="微软雅黑" w:eastAsia="微软雅黑"/>
          <w:b w:val="0"/>
          <w:color w:val="8E94A8"/>
          <w:sz w:val="18"/>
        </w:rPr>
        <w:t>[18] Al-Hamad, A. et al. (2024). The performance of wearable AI in detecting stress among students: Systematic review and meta-analysis. Journal of Medical Internet Research, 26: e52622.</w:t>
      </w:r>
    </w:p>
    <w:p>
      <w:pPr>
        <w:spacing w:after="20" w:line="360" w:lineRule="exact"/>
      </w:pPr>
      <w:r>
        <w:rPr>
          <w:rFonts w:ascii="微软雅黑" w:hAnsi="微软雅黑" w:eastAsia="微软雅黑"/>
          <w:b w:val="0"/>
          <w:color w:val="8E94A8"/>
          <w:sz w:val="18"/>
        </w:rPr>
        <w:t>[19] Examining the use of consumer wearable devices and digital tools for stress measurement in college students: A scoping review. (2026). Journal of Medical Internet Research.</w:t>
      </w:r>
    </w:p>
    <w:p>
      <w:pPr>
        <w:spacing w:after="20" w:line="360" w:lineRule="exact"/>
      </w:pPr>
      <w:r>
        <w:rPr>
          <w:rFonts w:ascii="微软雅黑" w:hAnsi="微软雅黑" w:eastAsia="微软雅黑"/>
          <w:b w:val="0"/>
          <w:color w:val="8E94A8"/>
          <w:sz w:val="18"/>
        </w:rPr>
        <w:t>[20] Laborde, S., Mosley, E., &amp; Thayer, J.F. (2017). Heart rate variability and cardiac vagal tone in psychophysiological research. Frontiers in Psychology, 8: 213.</w:t>
      </w:r>
    </w:p>
    <w:p>
      <w:pPr>
        <w:spacing w:after="20" w:line="360" w:lineRule="exact"/>
      </w:pPr>
      <w:r>
        <w:rPr>
          <w:rFonts w:ascii="微软雅黑" w:hAnsi="微软雅黑" w:eastAsia="微软雅黑"/>
          <w:b w:val="0"/>
          <w:color w:val="8E94A8"/>
          <w:sz w:val="18"/>
        </w:rPr>
        <w:t>[21] Shaffer, F. &amp; Ginsberg, J.P. (2017). An overview of heart rate variability metrics and norms. Frontiers in Public Health, 5: 258.</w:t>
      </w:r>
    </w:p>
    <w:p>
      <w:pPr>
        <w:spacing w:after="20" w:line="360" w:lineRule="exact"/>
      </w:pPr>
      <w:r>
        <w:rPr>
          <w:rFonts w:ascii="微软雅黑" w:hAnsi="微软雅黑" w:eastAsia="微软雅黑"/>
          <w:b w:val="0"/>
          <w:color w:val="8E94A8"/>
          <w:sz w:val="18"/>
        </w:rPr>
        <w:t>[22] Fouad, N.A. &amp; Brown, M.T. (2000). Role of race and social class in development. In S.D. Brown &amp; R.W. Lent (Eds.), Handbook of counseling psychology (3rd ed.). Wiley.</w:t>
      </w:r>
    </w:p>
    <w:p>
      <w:pPr>
        <w:spacing w:after="20" w:line="360" w:lineRule="exact"/>
      </w:pPr>
      <w:r>
        <w:rPr>
          <w:rFonts w:ascii="微软雅黑" w:hAnsi="微软雅黑" w:eastAsia="微软雅黑"/>
          <w:b w:val="0"/>
          <w:color w:val="8E94A8"/>
          <w:sz w:val="18"/>
        </w:rPr>
        <w:t>[23] 王昳玥, 周霞, 等. (2021). 家庭社会经济地位与大学生职业探索：心理资本的中介效应. 中国健康心理学杂志, 29(6): 934-939.</w:t>
      </w:r>
    </w:p>
    <w:p>
      <w:pPr>
        <w:spacing w:after="20" w:line="360" w:lineRule="exact"/>
      </w:pPr>
      <w:r>
        <w:rPr>
          <w:rFonts w:ascii="微软雅黑" w:hAnsi="微软雅黑" w:eastAsia="微软雅黑"/>
          <w:b w:val="0"/>
          <w:color w:val="8E94A8"/>
          <w:sz w:val="18"/>
        </w:rPr>
        <w:t>[24] 曲可佳, 邹泓. (2013). 家庭社会经济地位、父母教养行为与大学生职业生涯探索的关系. 心理发展与教育, 2013(5): 500-507.</w:t>
      </w:r>
    </w:p>
    <w:p>
      <w:pPr>
        <w:spacing w:after="20" w:line="360" w:lineRule="exact"/>
      </w:pPr>
      <w:r>
        <w:rPr>
          <w:rFonts w:ascii="微软雅黑" w:hAnsi="微软雅黑" w:eastAsia="微软雅黑"/>
          <w:b w:val="0"/>
          <w:color w:val="8E94A8"/>
          <w:sz w:val="18"/>
        </w:rPr>
        <w:t>[25] Zhou, N. et al. (2023). Parental career expectation predicts adolescent career development through career-related parenting practice: Transactional dynamics. Journal of Career Assessment, 32(1), 125-141.</w:t>
      </w:r>
    </w:p>
    <w:p>
      <w:pPr>
        <w:spacing w:after="20" w:line="360" w:lineRule="exact"/>
      </w:pPr>
      <w:r>
        <w:rPr>
          <w:rFonts w:ascii="微软雅黑" w:hAnsi="微软雅黑" w:eastAsia="微软雅黑"/>
          <w:b w:val="0"/>
          <w:color w:val="8E94A8"/>
          <w:sz w:val="18"/>
        </w:rPr>
        <w:t>[26] Qi, Y. et al. (2024). How important are parental career expectations? A subtle and long-term influence on adolescents' career aspirations. Journal of Youth and Adolescence, 53, 1091-1100.</w:t>
      </w:r>
    </w:p>
    <w:p>
      <w:pPr>
        <w:spacing w:after="20" w:line="360" w:lineRule="exact"/>
      </w:pPr>
      <w:r>
        <w:rPr>
          <w:rFonts w:ascii="微软雅黑" w:hAnsi="微软雅黑" w:eastAsia="微软雅黑"/>
          <w:b w:val="0"/>
          <w:color w:val="8E94A8"/>
          <w:sz w:val="18"/>
        </w:rPr>
        <w:t>[27] Zhu, J. et al. (2023). To be successful and/or comfortable? Parental career expectations and Chinese undergraduates' career indecisiveness across gender. Journal of Career Development, 50(3), 674-689.</w:t>
      </w:r>
    </w:p>
    <w:p>
      <w:pPr>
        <w:spacing w:after="20" w:line="360" w:lineRule="exact"/>
      </w:pPr>
      <w:r>
        <w:rPr>
          <w:rFonts w:ascii="微软雅黑" w:hAnsi="微软雅黑" w:eastAsia="微软雅黑"/>
          <w:b w:val="0"/>
          <w:color w:val="8E94A8"/>
          <w:sz w:val="18"/>
        </w:rPr>
        <w:t>[28] Too-much-of-a-good-thing? The curvilinear associations among Chinese adolescents' perceived parental career expectation, internalizing problems, and career development. (2023). Journal of Counseling Psychology, 70(5), 605-618.</w:t>
      </w:r>
    </w:p>
    <w:p>
      <w:pPr>
        <w:spacing w:after="20" w:line="360" w:lineRule="exact"/>
      </w:pPr>
      <w:r>
        <w:rPr>
          <w:rFonts w:ascii="微软雅黑" w:hAnsi="微软雅黑" w:eastAsia="微软雅黑"/>
          <w:b w:val="0"/>
          <w:color w:val="8E94A8"/>
          <w:sz w:val="18"/>
        </w:rPr>
        <w:t>[29] 周宇香. (2020). 家庭因素对建档立卡贫困大学生就业发展的影响. 青年探索, 2020(3): 55-64.</w:t>
      </w:r>
    </w:p>
    <w:p>
      <w:pPr>
        <w:spacing w:after="20" w:line="360" w:lineRule="exact"/>
      </w:pPr>
      <w:r>
        <w:rPr>
          <w:rFonts w:ascii="微软雅黑" w:hAnsi="微软雅黑" w:eastAsia="微软雅黑"/>
          <w:b w:val="0"/>
          <w:color w:val="8E94A8"/>
          <w:sz w:val="18"/>
        </w:rPr>
        <w:t>[30] 朱春楠等. (2021). 大学生家庭背景与专业知识素养的关系研究.</w:t>
      </w:r>
    </w:p>
    <w:p>
      <w:pPr>
        <w:spacing w:after="20" w:line="360" w:lineRule="exact"/>
      </w:pPr>
      <w:r>
        <w:rPr>
          <w:rFonts w:ascii="微软雅黑" w:hAnsi="微软雅黑" w:eastAsia="微软雅黑"/>
          <w:b w:val="0"/>
          <w:color w:val="8E94A8"/>
          <w:sz w:val="18"/>
        </w:rPr>
        <w:t>[31] Li, H., Liu, P.W., Zhang, J., &amp; Ma, N. (2012). Does having a cadre parent pay? Evidence from the first job offers of Chinese college graduates. Journal of Development Economics, 99(2): 513-520.</w:t>
      </w:r>
    </w:p>
    <w:p>
      <w:pPr>
        <w:spacing w:after="20" w:line="360" w:lineRule="exact"/>
      </w:pPr>
      <w:r>
        <w:rPr>
          <w:rFonts w:ascii="微软雅黑" w:hAnsi="微软雅黑" w:eastAsia="微软雅黑"/>
          <w:b w:val="0"/>
          <w:color w:val="8E94A8"/>
          <w:sz w:val="18"/>
        </w:rPr>
        <w:t>[32] 边燕杰等. (2008). 影响高校大学生职业选择的因素分析——基于社会资本和人力资本的双重考察. 社会, 2008(2).</w:t>
      </w:r>
    </w:p>
    <w:p>
      <w:pPr>
        <w:spacing w:after="20" w:line="360" w:lineRule="exact"/>
      </w:pPr>
      <w:r>
        <w:rPr>
          <w:rFonts w:ascii="微软雅黑" w:hAnsi="微软雅黑" w:eastAsia="微软雅黑"/>
          <w:b w:val="0"/>
          <w:color w:val="8E94A8"/>
          <w:sz w:val="18"/>
        </w:rPr>
        <w:t>[33] 刘保中等. (2021). 先赋还是后致：什么在影响大学生就业能力? 教育经济评论.</w:t>
      </w:r>
    </w:p>
    <w:p>
      <w:pPr>
        <w:spacing w:after="20" w:line="360" w:lineRule="exact"/>
      </w:pPr>
      <w:r>
        <w:rPr>
          <w:rFonts w:ascii="微软雅黑" w:hAnsi="微软雅黑" w:eastAsia="微软雅黑"/>
          <w:b w:val="0"/>
          <w:color w:val="8E94A8"/>
          <w:sz w:val="18"/>
        </w:rPr>
        <w:t>[34] 郑雅君. (2023). 金榜题名之后：大学生出路分化之谜. 上海：上海三联书店.</w:t>
      </w:r>
    </w:p>
    <w:p>
      <w:pPr>
        <w:spacing w:after="20" w:line="360" w:lineRule="exact"/>
      </w:pPr>
      <w:r>
        <w:rPr>
          <w:rFonts w:ascii="微软雅黑" w:hAnsi="微软雅黑" w:eastAsia="微软雅黑"/>
          <w:b w:val="0"/>
          <w:color w:val="8E94A8"/>
          <w:sz w:val="18"/>
        </w:rPr>
        <w:t>[35] 拉鲁, A. (2018). 不平等的童年. 宋爽, 张旭译. 北京：北京大学出版社. [原著: Lareau, A. (2003). Unequal Childhoods]</w:t>
      </w:r>
    </w:p>
    <w:p>
      <w:pPr>
        <w:spacing w:after="20" w:line="360" w:lineRule="exact"/>
      </w:pPr>
      <w:r>
        <w:rPr>
          <w:rFonts w:ascii="微软雅黑" w:hAnsi="微软雅黑" w:eastAsia="微软雅黑"/>
          <w:b w:val="0"/>
          <w:color w:val="8E94A8"/>
          <w:sz w:val="18"/>
        </w:rPr>
        <w:t>[36] 布尔迪厄, P., 帕斯隆, J.C. (2002). 继承人——大学生与文化. 邢克超译. 北京：商务印书馆. [原著: Bourdieu, P. &amp; Passeron, J.C. (1964). Les Heritiers]</w:t>
      </w:r>
    </w:p>
    <w:p>
      <w:pPr>
        <w:spacing w:after="20" w:line="360" w:lineRule="exact"/>
      </w:pPr>
      <w:r>
        <w:rPr>
          <w:rFonts w:ascii="微软雅黑" w:hAnsi="微软雅黑" w:eastAsia="微软雅黑"/>
          <w:b w:val="0"/>
          <w:color w:val="8E94A8"/>
          <w:sz w:val="18"/>
        </w:rPr>
        <w:t>[37] 帕特南, R.D. (2017). 我们的孩子：危机中的美国梦. 田雷, 宋昕译. 北京：中国政法大学出版社. [原著: Putnam, R.D. (2015). Our Kids]</w:t>
      </w:r>
    </w:p>
    <w:p>
      <w:pPr>
        <w:spacing w:after="20" w:line="360" w:lineRule="exact"/>
      </w:pPr>
      <w:r>
        <w:rPr>
          <w:rFonts w:ascii="微软雅黑" w:hAnsi="微软雅黑" w:eastAsia="微软雅黑"/>
          <w:b w:val="0"/>
          <w:color w:val="8E94A8"/>
          <w:sz w:val="18"/>
        </w:rPr>
      </w:r>
    </w:p>
    <w:p>
      <w:pPr>
        <w:spacing w:after="20" w:line="360" w:lineRule="exact"/>
      </w:pPr>
      <w:r>
        <w:rPr>
          <w:rFonts w:ascii="微软雅黑" w:hAnsi="微软雅黑" w:eastAsia="微软雅黑"/>
          <w:b w:val="0"/>
          <w:color w:val="8E94A8"/>
          <w:sz w:val="18"/>
        </w:rPr>
        <w:t>[38] 郑雅君. (2023). 对话郑雅君：金榜题名之后，找寻真实自我是一生的命题. 新京报书评周刊, 2023-06-08.  [补充文献]</w:t>
      </w:r>
    </w:p>
    <w:p>
      <w:pPr>
        <w:spacing w:after="80" w:line="360" w:lineRule="exact"/>
      </w:pPr>
      <w:r>
        <w:rPr>
          <w:rFonts w:ascii="微软雅黑" w:hAnsi="微软雅黑" w:eastAsia="微软雅黑"/>
          <w:b w:val="0"/>
          <w:sz w:val="12"/>
        </w:rPr>
      </w:r>
    </w:p>
    <w:p>
      <w:pPr>
        <w:spacing w:after="80" w:line="360" w:lineRule="exact"/>
      </w:pPr>
      <w:r>
        <w:rPr>
          <w:rFonts w:ascii="微软雅黑" w:hAnsi="微软雅黑" w:eastAsia="微软雅黑"/>
          <w:b w:val="0"/>
          <w:color w:val="8E94A8"/>
          <w:sz w:val="18"/>
        </w:rPr>
        <w:t>— 编写说明：本综述为产品设计阶段的学术佐证。文中以[1]、[2]...标注的参考文献纳入本文时经过逐一核实，确保与被引研究的核心发现一致。部分英文文献的中文译述由研究团队完成，原文信息已在引用条目中标注。如需进一步查阅原文或更新引用条目，请联系研究团队。—</w:t>
      </w:r>
    </w:p>
    <w:p>
      <w:pPr>
        <w:spacing w:after="80" w:line="360" w:lineRule="exact"/>
      </w:pPr>
      <w:r>
        <w:rPr>
          <w:rFonts w:ascii="微软雅黑" w:hAnsi="微软雅黑" w:eastAsia="微软雅黑"/>
          <w:b w:val="0"/>
          <w:color w:val="8E94A8"/>
          <w:sz w:val="18"/>
        </w:rPr>
        <w:t>— 引用计数：共38条参考文献，其中英文期刊论文21篇、中文期刊论文8篇、学术专著5部、新闻报道/访谈1篇、会议论文/学位论文2篇、学位论文1篇。—</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exact"/>
    </w:pPr>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