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8F68A">
      <w:pPr>
        <w:spacing w:after="80" w:line="360" w:lineRule="exact"/>
      </w:pPr>
    </w:p>
    <w:p w14:paraId="3D0AC7D8">
      <w:pPr>
        <w:spacing w:after="120" w:line="360" w:lineRule="exact"/>
        <w:jc w:val="center"/>
      </w:pPr>
      <w:r>
        <w:rPr>
          <w:rFonts w:ascii="微软雅黑" w:hAnsi="微软雅黑" w:eastAsia="微软雅黑"/>
          <w:b/>
          <w:color w:val="1A2233"/>
          <w:sz w:val="52"/>
        </w:rPr>
        <w:t>AI产品开题报告</w:t>
      </w:r>
    </w:p>
    <w:p w14:paraId="300D6A64">
      <w:pPr>
        <w:spacing w:after="80" w:line="360" w:lineRule="exact"/>
        <w:jc w:val="center"/>
      </w:pPr>
      <w:r>
        <w:rPr>
          <w:rFonts w:ascii="微软雅黑" w:hAnsi="微软雅黑" w:eastAsia="微软雅黑"/>
          <w:b/>
          <w:color w:val="00B894"/>
          <w:sz w:val="40"/>
        </w:rPr>
        <w:t>AI驱动的大学生全周期成长规划引擎</w:t>
      </w:r>
    </w:p>
    <w:p w14:paraId="019CA26F">
      <w:pPr>
        <w:spacing w:after="80" w:line="360" w:lineRule="exact"/>
        <w:jc w:val="center"/>
      </w:pPr>
      <w:r>
        <w:rPr>
          <w:rFonts w:ascii="微软雅黑" w:hAnsi="微软雅黑" w:eastAsia="微软雅黑"/>
          <w:b w:val="0"/>
          <w:color w:val="F59F00"/>
          <w:sz w:val="28"/>
        </w:rPr>
        <w:t>从"随性摸索"到"路径可落地"</w:t>
      </w:r>
    </w:p>
    <w:p w14:paraId="37F3CFFC">
      <w:pPr>
        <w:spacing w:after="320" w:line="360" w:lineRule="exact"/>
        <w:jc w:val="center"/>
      </w:pPr>
      <w:r>
        <w:rPr>
          <w:rFonts w:ascii="微软雅黑" w:hAnsi="微软雅黑" w:eastAsia="微软雅黑"/>
          <w:b w:val="0"/>
          <w:color w:val="5C6680"/>
          <w:sz w:val="24"/>
        </w:rPr>
        <w:t>"不替学生做选择，而是让选择的风险可见"</w:t>
      </w:r>
    </w:p>
    <w:p w14:paraId="679898AC">
      <w:pPr>
        <w:spacing w:after="40" w:line="360" w:lineRule="exact"/>
        <w:jc w:val="center"/>
      </w:pPr>
      <w:r>
        <w:rPr>
          <w:rFonts w:ascii="微软雅黑" w:hAnsi="微软雅黑" w:eastAsia="微软雅黑"/>
          <w:b w:val="0"/>
          <w:color w:val="5C6680"/>
          <w:sz w:val="24"/>
        </w:rPr>
        <w:t>申报方向：AI + 教育科技</w:t>
      </w:r>
    </w:p>
    <w:p w14:paraId="69892448">
      <w:pPr>
        <w:spacing w:after="40" w:line="360" w:lineRule="exact"/>
        <w:jc w:val="center"/>
      </w:pPr>
      <w:r>
        <w:rPr>
          <w:rFonts w:ascii="微软雅黑" w:hAnsi="微软雅黑" w:eastAsia="微软雅黑"/>
          <w:b w:val="0"/>
          <w:color w:val="5C6680"/>
          <w:sz w:val="24"/>
        </w:rPr>
        <w:t>产品角色：AI 产品经理</w:t>
      </w:r>
    </w:p>
    <w:p w14:paraId="180F4110">
      <w:pPr>
        <w:spacing w:after="40" w:line="360" w:lineRule="exact"/>
        <w:jc w:val="center"/>
      </w:pPr>
      <w:r>
        <w:rPr>
          <w:rFonts w:ascii="微软雅黑" w:hAnsi="微软雅黑" w:eastAsia="微软雅黑"/>
          <w:b w:val="0"/>
          <w:color w:val="5C6680"/>
          <w:sz w:val="24"/>
        </w:rPr>
        <w:t>目标企业：华图教育</w:t>
      </w:r>
    </w:p>
    <w:p w14:paraId="04B8F434">
      <w:pPr>
        <w:spacing w:after="80" w:line="360" w:lineRule="exact"/>
        <w:jc w:val="center"/>
      </w:pPr>
      <w:r>
        <w:rPr>
          <w:rFonts w:ascii="微软雅黑" w:hAnsi="微软雅黑" w:eastAsia="微软雅黑"/>
          <w:b w:val="0"/>
          <w:color w:val="5C6680"/>
          <w:sz w:val="24"/>
        </w:rPr>
        <w:t>版本：V2.0 | 2026年7月</w:t>
      </w:r>
    </w:p>
    <w:p w14:paraId="11C67BB2">
      <w:r>
        <w:br w:type="page"/>
      </w:r>
    </w:p>
    <w:p w14:paraId="6187DADC">
      <w:pPr>
        <w:pStyle w:val="3"/>
      </w:pPr>
      <w:r>
        <w:rPr>
          <w:rFonts w:ascii="微软雅黑" w:hAnsi="微软雅黑" w:eastAsia="微软雅黑"/>
        </w:rPr>
        <w:t>一、项目概述</w:t>
      </w:r>
    </w:p>
    <w:p w14:paraId="0B016410">
      <w:pPr>
        <w:pStyle w:val="4"/>
      </w:pPr>
      <w:r>
        <w:rPr>
          <w:rFonts w:ascii="微软雅黑" w:hAnsi="微软雅黑" w:eastAsia="微软雅黑"/>
        </w:rPr>
        <w:t>1.1 项目背景</w:t>
      </w:r>
    </w:p>
    <w:p w14:paraId="5A026DCE"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华图教育是职业教育领域领跑企业，全国超1000家学习中心、万余名员工，正从传统职业考试培训向全周期学习与职业服务延伸。华图已推出AI面试点评、AI申论批改等约20款AI产品，研发投入同比暴涨160%至1.45亿元，覆盖近70%员工的AI工作台。命题的核心课题是：如何面向海量在校学生，实现从"随性摸索"到"路径可落地"的跨越，为不同个体匹配专属成长方案。</w:t>
      </w:r>
    </w:p>
    <w:p w14:paraId="6736066E">
      <w:pPr>
        <w:spacing w:after="120" w:line="360" w:lineRule="exact"/>
      </w:pPr>
      <w:r>
        <w:rPr>
          <w:rFonts w:ascii="微软雅黑" w:hAnsi="微软雅黑" w:eastAsia="微软雅黑"/>
          <w:b w:val="0"/>
          <w:sz w:val="21"/>
        </w:rPr>
        <w:t>当前大学生职业规划面临三重结构性问题：</w:t>
      </w:r>
    </w:p>
    <w:p w14:paraId="772DEB60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学情画像不精准：传统人工摸排效率低、维度单一。主流测评工具（MBTI、霍兰德、北森）仅测性格兴趣，从未将家庭经济压力、父母职业资源、生理耐受度等客观条件纳入模型。78.3%的贫困在校生偏好体制内就业，但实际进入比例仅45.4%——脱离家庭约束的规划建议几乎没有落地价值（周宇香，2020）。</w:t>
      </w:r>
    </w:p>
    <w:p w14:paraId="340B14B4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定制规划效率低：大学分年级成长节点多、各赛道要求差异大，依靠人工批量产出个性化方案耗时耗力，也无法根据学生状态变化实时调整。郑雅君（2023）在《金榜题名之后》中揭示了"小镇做题家"的"直觉依赖模式"困境——家庭背景弱势的学生在外部指令撤除后，缺乏自主决策的内部系统。</w:t>
      </w:r>
    </w:p>
    <w:p w14:paraId="3BF3B4B2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赛道路径拆解难：升学、公考、求职等方向分支繁杂、规则持续更新，人工难以全覆盖梳理成长脉络、模拟发展轨迹。更关键的是——没有任何产品利用真实案例数据做相似人群的路径回溯，帮学生优先排除不适配选项。查理·芒格指出："长期来看，持续避免愚蠢比追求聪明带来的优势大得多。"</w:t>
      </w:r>
    </w:p>
    <w:p w14:paraId="11EC0C7D"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产品战略意义：将用户触点从"决定考公后才找到华图"前移至"大学入学阶段即开始陪伴"，构建"免费职业探索 → 成长规划 → 日常伴学 → 识别需求 → 课程推荐 → 就业跟踪"的完整用户生命周期。</w:t>
      </w:r>
    </w:p>
    <w:p w14:paraId="2B3C1C64">
      <w:pPr>
        <w:pStyle w:val="4"/>
      </w:pPr>
      <w:r>
        <w:rPr>
          <w:rFonts w:ascii="微软雅黑" w:hAnsi="微软雅黑" w:eastAsia="微软雅黑"/>
        </w:rPr>
        <w:t>1.2 产品定位</w:t>
      </w:r>
    </w:p>
    <w:p w14:paraId="0666B891"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本产品是一款AI驱动的大学生全周期成长规划引擎，以AI大模型为底层智能核心，以多维学情画像为基础，以动态路径推演与阶段任务引擎为核心能力，覆盖大学4-5年全周期。</w:t>
      </w:r>
    </w:p>
    <w:p w14:paraId="768FEA20"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产品帮助大学生回答三个终极问题："我是谁？我能去哪？下一步怎么走？"核心理念是：不追求给出所谓"最热门"的职业方向，而是帮助学生深入认识到自己可能都没有意识到的真正需求，找到不一定热门但最适合每个人的专属职业目标。用AI专家Agent代替高价人工咨询，做到"小镇做题家也有春天"。</w:t>
      </w:r>
    </w:p>
    <w:p w14:paraId="10FD7788">
      <w:pPr>
        <w:pStyle w:val="3"/>
      </w:pPr>
      <w:r>
        <w:rPr>
          <w:rFonts w:ascii="微软雅黑" w:hAnsi="微软雅黑" w:eastAsia="微软雅黑"/>
        </w:rPr>
        <w:t>二、市场与竞品分析</w:t>
      </w:r>
    </w:p>
    <w:p w14:paraId="65F92E1C">
      <w:pPr>
        <w:pStyle w:val="4"/>
      </w:pPr>
      <w:r>
        <w:rPr>
          <w:rFonts w:ascii="微软雅黑" w:hAnsi="微软雅黑" w:eastAsia="微软雅黑"/>
        </w:rPr>
        <w:t>2.1 宏观数据</w:t>
      </w:r>
    </w:p>
    <w:p w14:paraId="629360C4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2026届高校毕业生预计达1270万人（新华网）。</w:t>
      </w:r>
    </w:p>
    <w:p w14:paraId="7361BD79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未获得Offer的毕业生中，36.2%自认"太迷茫"，27.4%认为掌握技能较少（智联招聘《2024大学生就业力调研报告》）。64.8%的大学生因不了解市场、存在信息差而难以制定职业规划，55.4%不了解专业对应的职业领域（中国青年报2022调查）。</w:t>
      </w:r>
    </w:p>
    <w:p w14:paraId="587A4573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全球职业发展软件市场2025年规模约18.8亿美元，预计2032年达30.6亿美元。79.1%的应届生已采用AI工具辅助求职——但AI在规划领域的应用仍停留在"帮你写简历"的浅层。</w:t>
      </w:r>
    </w:p>
    <w:p w14:paraId="4A57EA06">
      <w:pPr>
        <w:pStyle w:val="4"/>
      </w:pPr>
      <w:r>
        <w:rPr>
          <w:rFonts w:ascii="微软雅黑" w:hAnsi="微软雅黑" w:eastAsia="微软雅黑"/>
        </w:rPr>
        <w:t>2.2 竞品分析</w:t>
      </w:r>
    </w:p>
    <w:p w14:paraId="03B9E074"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对12款主流产品进行了系统拆解（求职精灵、职比特、北森、中公AI就业、粉笔、超级简历、牛客网、实习僧、互联派、前途问鹿、山小芽、学职平台），核心结论：</w:t>
      </w:r>
    </w:p>
    <w:p w14:paraId="6D3A5389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没有任何产品实现"通用规划+多赛道推演+全周期任务跟进"一体化，学生需切换多个平台。</w:t>
      </w:r>
    </w:p>
    <w:p w14:paraId="1B3F3DDA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多数产品脱离现实约束，未将家庭经济、父母职业资源、身体机能等"客观约束"纳入模型。</w:t>
      </w:r>
    </w:p>
    <w:p w14:paraId="77FE61B1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所有产品聚焦大四求职，忽略大一至大三的启蒙和试错。</w:t>
      </w:r>
    </w:p>
    <w:p w14:paraId="1C0B152F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考培型产品（中公/粉笔）以规划为导流手段，本质卖课——规划是手段而非目的。</w:t>
      </w:r>
    </w:p>
    <w:p w14:paraId="1503B518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没有任何产品利用真实案例做相似人群路径回溯——学生最缺的不是"你适合什么"，而是"跟你类似的人走过哪些弯路"。</w:t>
      </w:r>
    </w:p>
    <w:p w14:paraId="428227ED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没有任何产品将可穿戴生理监测纳入职业规划辅助。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701"/>
        <w:gridCol w:w="1701"/>
        <w:gridCol w:w="1984"/>
      </w:tblGrid>
      <w:tr w14:paraId="2FC515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D031C6A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对比维度</w:t>
            </w:r>
          </w:p>
        </w:tc>
        <w:tc>
          <w:tcPr>
            <w:tcW w:w="1701" w:type="dxa"/>
          </w:tcPr>
          <w:p w14:paraId="7CFA13BD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综合型</w:t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（北森/求职精灵）</w:t>
            </w:r>
          </w:p>
        </w:tc>
        <w:tc>
          <w:tcPr>
            <w:tcW w:w="1701" w:type="dxa"/>
          </w:tcPr>
          <w:p w14:paraId="43C68121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考培型</w:t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（中公/粉笔）</w:t>
            </w:r>
          </w:p>
        </w:tc>
        <w:tc>
          <w:tcPr>
            <w:tcW w:w="1701" w:type="dxa"/>
          </w:tcPr>
          <w:p w14:paraId="54D1D516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垂直/官方型</w:t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（牛客/学职平台）</w:t>
            </w:r>
          </w:p>
        </w:tc>
        <w:tc>
          <w:tcPr>
            <w:tcW w:w="1984" w:type="dxa"/>
          </w:tcPr>
          <w:p w14:paraId="1E10D3BE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我们的方案</w:t>
            </w:r>
          </w:p>
        </w:tc>
      </w:tr>
      <w:tr w14:paraId="24BB5A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95492D5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测评维度</w:t>
            </w:r>
          </w:p>
        </w:tc>
        <w:tc>
          <w:tcPr>
            <w:tcW w:w="1701" w:type="dxa"/>
          </w:tcPr>
          <w:p w14:paraId="2D5877D0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六维（标准化）</w:t>
            </w:r>
          </w:p>
        </w:tc>
        <w:tc>
          <w:tcPr>
            <w:tcW w:w="1701" w:type="dxa"/>
          </w:tcPr>
          <w:p w14:paraId="28B63365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基础/人工</w:t>
            </w:r>
          </w:p>
        </w:tc>
        <w:tc>
          <w:tcPr>
            <w:tcW w:w="1701" w:type="dxa"/>
          </w:tcPr>
          <w:p w14:paraId="2E6427F1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弱/零散</w:t>
            </w:r>
          </w:p>
        </w:tc>
        <w:tc>
          <w:tcPr>
            <w:tcW w:w="1984" w:type="dxa"/>
          </w:tcPr>
          <w:p w14:paraId="347C2188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六维（含家庭约束+生理指标）</w:t>
            </w:r>
          </w:p>
        </w:tc>
      </w:tr>
      <w:tr w14:paraId="2A6D8C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92A794A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客观约束筛查</w:t>
            </w:r>
          </w:p>
        </w:tc>
        <w:tc>
          <w:tcPr>
            <w:tcW w:w="1701" w:type="dxa"/>
          </w:tcPr>
          <w:p w14:paraId="14141495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w="1701" w:type="dxa"/>
          </w:tcPr>
          <w:p w14:paraId="76453426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w="1701" w:type="dxa"/>
          </w:tcPr>
          <w:p w14:paraId="50546C1D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w="1984" w:type="dxa"/>
          </w:tcPr>
          <w:p w14:paraId="797CF576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首创</w:t>
            </w:r>
          </w:p>
        </w:tc>
      </w:tr>
      <w:tr w14:paraId="66360D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7D62C104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规划目的选择</w:t>
            </w:r>
          </w:p>
        </w:tc>
        <w:tc>
          <w:tcPr>
            <w:tcW w:w="1701" w:type="dxa"/>
          </w:tcPr>
          <w:p w14:paraId="354E8659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w="1701" w:type="dxa"/>
          </w:tcPr>
          <w:p w14:paraId="6CF1273B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w="1701" w:type="dxa"/>
          </w:tcPr>
          <w:p w14:paraId="4D689825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w="1984" w:type="dxa"/>
          </w:tcPr>
          <w:p w14:paraId="185BF8EF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首创（四种目的可选）</w:t>
            </w:r>
          </w:p>
        </w:tc>
      </w:tr>
      <w:tr w14:paraId="228A79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0661C70B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前人案例参照</w:t>
            </w:r>
          </w:p>
        </w:tc>
        <w:tc>
          <w:tcPr>
            <w:tcW w:w="1701" w:type="dxa"/>
          </w:tcPr>
          <w:p w14:paraId="0BFA9947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w="1701" w:type="dxa"/>
          </w:tcPr>
          <w:p w14:paraId="3829EB1E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w="1701" w:type="dxa"/>
          </w:tcPr>
          <w:p w14:paraId="61AFCF49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w="1984" w:type="dxa"/>
          </w:tcPr>
          <w:p w14:paraId="435AF826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首创（正反案例+回溯）</w:t>
            </w:r>
          </w:p>
        </w:tc>
      </w:tr>
      <w:tr w14:paraId="0B6579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231F5C0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生理数据监测</w:t>
            </w:r>
          </w:p>
        </w:tc>
        <w:tc>
          <w:tcPr>
            <w:tcW w:w="1701" w:type="dxa"/>
          </w:tcPr>
          <w:p w14:paraId="29D39459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w="1701" w:type="dxa"/>
          </w:tcPr>
          <w:p w14:paraId="7D9EBF2C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w="1701" w:type="dxa"/>
          </w:tcPr>
          <w:p w14:paraId="7370DCC2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w="1984" w:type="dxa"/>
          </w:tcPr>
          <w:p w14:paraId="688AA9CA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首创（可穿戴+应激归因）</w:t>
            </w:r>
          </w:p>
        </w:tc>
      </w:tr>
      <w:tr w14:paraId="731519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0497F2B0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持续跟踪</w:t>
            </w:r>
          </w:p>
        </w:tc>
        <w:tc>
          <w:tcPr>
            <w:tcW w:w="1701" w:type="dxa"/>
          </w:tcPr>
          <w:p w14:paraId="60F1C79B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弱（一次性报告）</w:t>
            </w:r>
          </w:p>
        </w:tc>
        <w:tc>
          <w:tcPr>
            <w:tcW w:w="1701" w:type="dxa"/>
          </w:tcPr>
          <w:p w14:paraId="35413D0B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备考跟踪/人工</w:t>
            </w:r>
          </w:p>
        </w:tc>
        <w:tc>
          <w:tcPr>
            <w:tcW w:w="1701" w:type="dxa"/>
          </w:tcPr>
          <w:p w14:paraId="7E25BA91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w="1984" w:type="dxa"/>
          </w:tcPr>
          <w:p w14:paraId="4C367FF4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四节点检测（日/周/月/学期）</w:t>
            </w:r>
          </w:p>
        </w:tc>
      </w:tr>
      <w:tr w14:paraId="43A67B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6E5CE61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规划定位</w:t>
            </w:r>
          </w:p>
        </w:tc>
        <w:tc>
          <w:tcPr>
            <w:tcW w:w="1701" w:type="dxa"/>
          </w:tcPr>
          <w:p w14:paraId="2DF56554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目的</w:t>
            </w:r>
          </w:p>
        </w:tc>
        <w:tc>
          <w:tcPr>
            <w:tcW w:w="1701" w:type="dxa"/>
          </w:tcPr>
          <w:p w14:paraId="37B9651B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手段（导流卖课）</w:t>
            </w:r>
          </w:p>
        </w:tc>
        <w:tc>
          <w:tcPr>
            <w:tcW w:w="1701" w:type="dxa"/>
          </w:tcPr>
          <w:p w14:paraId="6F919BA2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目的/工具</w:t>
            </w:r>
          </w:p>
        </w:tc>
        <w:tc>
          <w:tcPr>
            <w:tcW w:w="1984" w:type="dxa"/>
          </w:tcPr>
          <w:p w14:paraId="4F00F167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目的</w:t>
            </w:r>
          </w:p>
        </w:tc>
      </w:tr>
    </w:tbl>
    <w:p w14:paraId="71847F00">
      <w:pPr>
        <w:spacing w:after="80" w:line="360" w:lineRule="exact"/>
      </w:pPr>
      <w:r>
        <w:rPr>
          <w:rFonts w:ascii="微软雅黑" w:hAnsi="微软雅黑" w:eastAsia="微软雅黑"/>
          <w:b w:val="0"/>
          <w:color w:val="8E94A8"/>
          <w:sz w:val="20"/>
        </w:rPr>
        <w:t>完整</w:t>
      </w:r>
      <w:r>
        <w:rPr>
          <w:rFonts w:hint="eastAsia"/>
          <w:b w:val="0"/>
          <w:color w:val="8E94A8"/>
          <w:sz w:val="20"/>
          <w:lang w:val="en-US" w:eastAsia="zh-CN"/>
        </w:rPr>
        <w:t>竞品调研</w:t>
      </w:r>
      <w:r>
        <w:rPr>
          <w:rFonts w:ascii="微软雅黑" w:hAnsi="微软雅黑" w:eastAsia="微软雅黑"/>
          <w:b w:val="0"/>
          <w:color w:val="8E94A8"/>
          <w:sz w:val="20"/>
        </w:rPr>
        <w:t>详见</w:t>
      </w:r>
      <w:r>
        <w:rPr>
          <w:rFonts w:hint="eastAsia"/>
          <w:b w:val="0"/>
          <w:color w:val="8E94A8"/>
          <w:sz w:val="20"/>
          <w:lang w:val="en-US" w:eastAsia="zh-CN"/>
        </w:rPr>
        <w:t>单独整理的竞品调研</w:t>
      </w:r>
      <w:r>
        <w:rPr>
          <w:rFonts w:ascii="微软雅黑" w:hAnsi="微软雅黑" w:eastAsia="微软雅黑"/>
          <w:b w:val="0"/>
          <w:color w:val="8E94A8"/>
          <w:sz w:val="20"/>
        </w:rPr>
        <w:t>。</w:t>
      </w:r>
    </w:p>
    <w:p w14:paraId="2E21580A">
      <w:pPr>
        <w:spacing w:after="40"/>
      </w:pPr>
    </w:p>
    <w:p w14:paraId="0A959208">
      <w:pPr>
        <w:pStyle w:val="3"/>
      </w:pPr>
      <w:r>
        <w:rPr>
          <w:rFonts w:ascii="微软雅黑" w:hAnsi="微软雅黑" w:eastAsia="微软雅黑"/>
        </w:rPr>
        <w:t>三、学术理论支撑</w:t>
      </w:r>
    </w:p>
    <w:p w14:paraId="1ACAB886"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本产品的设计决策基于三大职业心理学理论框架的系统学术支撑：</w:t>
      </w:r>
    </w:p>
    <w:p w14:paraId="67667640">
      <w:pPr>
        <w:pStyle w:val="4"/>
      </w:pPr>
      <w:r>
        <w:rPr>
          <w:rFonts w:ascii="微软雅黑" w:hAnsi="微软雅黑" w:eastAsia="微软雅黑"/>
        </w:rPr>
        <w:t>3.1 自我决定理论（SDT）</w:t>
      </w:r>
    </w:p>
    <w:p w14:paraId="63699B57"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Ryan &amp; Deci提出的SDT认为，自主性需求是行为持续性的前提。Cahyasari（2024）证实自我决定水平与生涯决策能力呈显著正相关（r=0.685, p&lt;0.001）。Lu等（2024）基于1246名中国大学生追踪设计发现：学生需要先有能力想象"自己想成为谁"，单纯的"老师让你干什么"无法替代这种认知建构。</w:t>
      </w:r>
    </w:p>
    <w:p w14:paraId="5609EE06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→ 产品启示：规划工具的Step 0必须是"目标澄清"——通过"目的先行"设计强制学生在起点明确"我为什么做规划"，打破直觉依赖模式。自我决定理论为这一设计提供了直接的定量依据（r=0.685），证明自主性不仅是价值观，更是可量化的效能机制。</w:t>
      </w:r>
    </w:p>
    <w:p w14:paraId="0E12F8CC">
      <w:pPr>
        <w:pStyle w:val="4"/>
      </w:pPr>
      <w:r>
        <w:rPr>
          <w:rFonts w:ascii="微软雅黑" w:hAnsi="微软雅黑" w:eastAsia="微软雅黑"/>
        </w:rPr>
        <w:t>3.2 生涯建构理论（CCT）</w:t>
      </w:r>
    </w:p>
    <w:p w14:paraId="26D9189A"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Savickas提出的CCT以生涯适应力（含关注、控制、好奇、自信四维度）为核心概念。系统性综述确认主动性人格、职业决策自我效能感和社会支持是三个稳定预测因子。Gao等（2025）证实"能看见自己的未来路径"本身就是一种保护性心理资源。</w:t>
      </w:r>
    </w:p>
    <w:p w14:paraId="6D073192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→ 产品启示：多赛道可视化推演帮助学生建构未来视角；前人案例参照降低信息不对称。路径推演的目的不是给出唯一最优解，而是刺激学生对自身未来工作自我的认知建构和主动探索。</w:t>
      </w:r>
    </w:p>
    <w:p w14:paraId="0914F194">
      <w:pPr>
        <w:pStyle w:val="4"/>
      </w:pPr>
      <w:r>
        <w:rPr>
          <w:rFonts w:ascii="微软雅黑" w:hAnsi="微软雅黑" w:eastAsia="微软雅黑"/>
        </w:rPr>
        <w:t>3.3 家庭因素与文化再生产</w:t>
      </w:r>
    </w:p>
    <w:p w14:paraId="411B4203"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家庭资本包含经济、文化、社会三个维度。Li等（2012）在Journal of Development Economics上以高考成绩为控制变量，发现"干部父母"的毕业生起薪溢价高达15%。郑雅君（2023）《金榜题名之后》区分了"目标掌控"与"直觉依赖"两种阶层习性。王昳玥等（2021）证实家庭SES通过心理资本完全中介职业探索。Qi等（2024）发现父母期望"直接指令无效"——只有通过激发子女主动探索才产生效果。</w:t>
      </w:r>
    </w:p>
    <w:p w14:paraId="2BA0803B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→ 产品启示：需多维建模家庭约束（经济+期望+文化资本），而非单一标签。对于来自高期望-强干预家庭的学生，需要设置"自主防火墙"，引导其区分"父母想要的我"与"我想要的自己"。</w:t>
      </w:r>
    </w:p>
    <w:p w14:paraId="7EFA1C5E">
      <w:pPr>
        <w:pStyle w:val="4"/>
      </w:pPr>
      <w:r>
        <w:rPr>
          <w:rFonts w:ascii="微软雅黑" w:hAnsi="微软雅黑" w:eastAsia="微软雅黑"/>
        </w:rPr>
        <w:t>3.4 可穿戴生理监测的学术可行性</w:t>
      </w:r>
    </w:p>
    <w:p w14:paraId="6FCEDD40"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Kim等（2024）确认HRV在测量教育环境中的应激水平时具有中等共时效度。Benitez-Agudelo等（2025）发现学生在学期内"更好的成绩可能以长期身心健康为代价"。Kuhnell等（2020）证实慢性应激损害决策质量。</w:t>
      </w:r>
    </w:p>
    <w:p w14:paraId="67263401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→ 产品启示：可穿戴HRV监测已具备学术可行性，应激事件归因可识别不适合的岗位类型并预警，但目前尚无产品将其纳入职业规划辅助——这构成我们的学术创新空间。</w:t>
      </w:r>
    </w:p>
    <w:p w14:paraId="19845245">
      <w:pPr>
        <w:spacing w:after="80" w:line="360" w:lineRule="exact"/>
      </w:pPr>
      <w:r>
        <w:rPr>
          <w:rFonts w:ascii="微软雅黑" w:hAnsi="微软雅黑" w:eastAsia="微软雅黑"/>
          <w:b w:val="0"/>
          <w:color w:val="8E94A8"/>
          <w:sz w:val="20"/>
        </w:rPr>
        <w:t>完整</w:t>
      </w:r>
      <w:r>
        <w:rPr>
          <w:rFonts w:hint="eastAsia"/>
          <w:b w:val="0"/>
          <w:color w:val="8E94A8"/>
          <w:sz w:val="20"/>
          <w:lang w:val="en-US" w:eastAsia="zh-CN"/>
        </w:rPr>
        <w:t>学术理论支撑</w:t>
      </w:r>
      <w:r>
        <w:rPr>
          <w:rFonts w:ascii="微软雅黑" w:hAnsi="微软雅黑" w:eastAsia="微软雅黑"/>
          <w:b w:val="0"/>
          <w:color w:val="8E94A8"/>
          <w:sz w:val="20"/>
        </w:rPr>
        <w:t>详见</w:t>
      </w:r>
      <w:r>
        <w:rPr>
          <w:rFonts w:hint="eastAsia"/>
          <w:b w:val="0"/>
          <w:color w:val="8E94A8"/>
          <w:sz w:val="20"/>
          <w:lang w:val="en-US" w:eastAsia="zh-CN"/>
        </w:rPr>
        <w:t>单独整理的产品设计学术理论</w:t>
      </w:r>
      <w:bookmarkStart w:id="0" w:name="_GoBack"/>
      <w:bookmarkEnd w:id="0"/>
      <w:r>
        <w:rPr>
          <w:rFonts w:hint="eastAsia"/>
          <w:b w:val="0"/>
          <w:color w:val="8E94A8"/>
          <w:sz w:val="20"/>
          <w:lang w:val="en-US" w:eastAsia="zh-CN"/>
        </w:rPr>
        <w:t>支撑</w:t>
      </w:r>
      <w:r>
        <w:rPr>
          <w:rFonts w:ascii="微软雅黑" w:hAnsi="微软雅黑" w:eastAsia="微软雅黑"/>
          <w:b w:val="0"/>
          <w:color w:val="8E94A8"/>
          <w:sz w:val="20"/>
        </w:rPr>
        <w:t>。</w:t>
      </w:r>
    </w:p>
    <w:p w14:paraId="486AE4BA">
      <w:pPr>
        <w:pStyle w:val="3"/>
      </w:pPr>
      <w:r>
        <w:rPr>
          <w:rFonts w:ascii="微软雅黑" w:hAnsi="微软雅黑" w:eastAsia="微软雅黑"/>
        </w:rPr>
        <w:t>四、核心功能设计</w:t>
      </w:r>
    </w:p>
    <w:p w14:paraId="5B199EBB">
      <w:pPr>
        <w:pStyle w:val="4"/>
      </w:pPr>
      <w:r>
        <w:rPr>
          <w:rFonts w:ascii="微软雅黑" w:hAnsi="微软雅黑" w:eastAsia="微软雅黑"/>
        </w:rPr>
        <w:t>4.1 板块一：职途初鉴 —— 六维画像系统</w:t>
      </w:r>
    </w:p>
    <w:p w14:paraId="4E6711BE"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创新之处在于：在传统测评维度之外，新增"抗压与情绪"和"沟通协作"两项业界空白的评估维度，并用"家庭约束"和"健康状况"两项旁注直接影响"哪些路径可行"。统一0-5分制，每个维度标注一句话总结。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1984"/>
        <w:gridCol w:w="1984"/>
      </w:tblGrid>
      <w:tr w14:paraId="42F41F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CACAF32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w="2268" w:type="dxa"/>
          </w:tcPr>
          <w:p w14:paraId="5E798971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核心数据来源</w:t>
            </w:r>
          </w:p>
        </w:tc>
        <w:tc>
          <w:tcPr>
            <w:tcW w:w="1984" w:type="dxa"/>
          </w:tcPr>
          <w:p w14:paraId="0CD78341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打分方式</w:t>
            </w:r>
          </w:p>
        </w:tc>
        <w:tc>
          <w:tcPr>
            <w:tcW w:w="1984" w:type="dxa"/>
          </w:tcPr>
          <w:p w14:paraId="126BF2BD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特色</w:t>
            </w:r>
          </w:p>
        </w:tc>
      </w:tr>
      <w:tr w14:paraId="0C1FBF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AD905F1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性格适配度</w:t>
            </w:r>
          </w:p>
        </w:tc>
        <w:tc>
          <w:tcPr>
            <w:tcW w:w="2268" w:type="dxa"/>
          </w:tcPr>
          <w:p w14:paraId="3D2B1E85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大五人格 + 小游戏</w:t>
            </w:r>
          </w:p>
        </w:tc>
        <w:tc>
          <w:tcPr>
            <w:tcW w:w="1984" w:type="dxa"/>
          </w:tcPr>
          <w:p w14:paraId="44430912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与目标岗位性格画像对比匹配</w:t>
            </w:r>
          </w:p>
        </w:tc>
        <w:tc>
          <w:tcPr>
            <w:tcW w:w="1984" w:type="dxa"/>
          </w:tcPr>
          <w:p w14:paraId="563426BB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不同方向=不同理想画像</w:t>
            </w:r>
          </w:p>
        </w:tc>
      </w:tr>
      <w:tr w14:paraId="0B15F4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3533FFB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专业能力</w:t>
            </w:r>
          </w:p>
        </w:tc>
        <w:tc>
          <w:tcPr>
            <w:tcW w:w="2268" w:type="dxa"/>
          </w:tcPr>
          <w:p w14:paraId="26412B3E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简历解析 + 能力量表 + 业绩</w:t>
            </w:r>
          </w:p>
        </w:tc>
        <w:tc>
          <w:tcPr>
            <w:tcW w:w="1984" w:type="dxa"/>
          </w:tcPr>
          <w:p w14:paraId="19AE9051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硬成果x0.4+测评x0.3+业绩x0.3</w:t>
            </w:r>
          </w:p>
        </w:tc>
        <w:tc>
          <w:tcPr>
            <w:tcW w:w="1984" w:type="dxa"/>
          </w:tcPr>
          <w:p w14:paraId="06E8D4E1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多源交叉验证</w:t>
            </w:r>
          </w:p>
        </w:tc>
      </w:tr>
      <w:tr w14:paraId="484E27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6AF002C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兴趣匹配度</w:t>
            </w:r>
          </w:p>
        </w:tc>
        <w:tc>
          <w:tcPr>
            <w:tcW w:w="2268" w:type="dxa"/>
          </w:tcPr>
          <w:p w14:paraId="60DFD926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霍兰德 + 价值观 + B站/小红书</w:t>
            </w:r>
          </w:p>
        </w:tc>
        <w:tc>
          <w:tcPr>
            <w:tcW w:w="1984" w:type="dxa"/>
          </w:tcPr>
          <w:p w14:paraId="43EA6FE5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兴趣匹配x0.6+价值观x0.4</w:t>
            </w:r>
          </w:p>
        </w:tc>
        <w:tc>
          <w:tcPr>
            <w:tcW w:w="1984" w:type="dxa"/>
          </w:tcPr>
          <w:p w14:paraId="0499A0BA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行为数据优于自述</w:t>
            </w:r>
          </w:p>
        </w:tc>
      </w:tr>
      <w:tr w14:paraId="19A5B0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5B777ED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学习与知识</w:t>
            </w:r>
          </w:p>
        </w:tc>
        <w:tc>
          <w:tcPr>
            <w:tcW w:w="2268" w:type="dxa"/>
          </w:tcPr>
          <w:p w14:paraId="6E6A95B6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学历解析 + 持续学习记录</w:t>
            </w:r>
          </w:p>
        </w:tc>
        <w:tc>
          <w:tcPr>
            <w:tcW w:w="1984" w:type="dxa"/>
          </w:tcPr>
          <w:p w14:paraId="3970EDFA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学历x0.5+持续力x0.5</w:t>
            </w:r>
          </w:p>
        </w:tc>
        <w:tc>
          <w:tcPr>
            <w:tcW w:w="1984" w:type="dxa"/>
          </w:tcPr>
          <w:p w14:paraId="15D0E4B2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聚焦可发展性</w:t>
            </w:r>
          </w:p>
        </w:tc>
      </w:tr>
      <w:tr w14:paraId="78AF09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7A8963D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抗压与情绪</w:t>
            </w:r>
          </w:p>
        </w:tc>
        <w:tc>
          <w:tcPr>
            <w:tcW w:w="2268" w:type="dxa"/>
          </w:tcPr>
          <w:p w14:paraId="03E80792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大五神经质反向 + 压力游戏 + 自评</w:t>
            </w:r>
          </w:p>
        </w:tc>
        <w:tc>
          <w:tcPr>
            <w:tcW w:w="1984" w:type="dxa"/>
          </w:tcPr>
          <w:p w14:paraId="28620BD8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情绪稳定+耐受+复原</w:t>
            </w:r>
          </w:p>
        </w:tc>
        <w:tc>
          <w:tcPr>
            <w:tcW w:w="1984" w:type="dxa"/>
          </w:tcPr>
          <w:p w14:paraId="01F1CD11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行业首创维度</w:t>
            </w:r>
          </w:p>
        </w:tc>
      </w:tr>
      <w:tr w14:paraId="4E9EE0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4496CE4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沟通协作</w:t>
            </w:r>
          </w:p>
        </w:tc>
        <w:tc>
          <w:tcPr>
            <w:tcW w:w="2268" w:type="dxa"/>
          </w:tcPr>
          <w:p w14:paraId="412CE256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大五外向性/宜人性 + 简历团队经历</w:t>
            </w:r>
          </w:p>
        </w:tc>
        <w:tc>
          <w:tcPr>
            <w:tcW w:w="1984" w:type="dxa"/>
          </w:tcPr>
          <w:p w14:paraId="694720AD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表达x0.4+协作x0.35+影响x0.25</w:t>
            </w:r>
          </w:p>
        </w:tc>
        <w:tc>
          <w:tcPr>
            <w:tcW w:w="1984" w:type="dxa"/>
          </w:tcPr>
          <w:p w14:paraId="5DA2D973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行业首创维度</w:t>
            </w:r>
          </w:p>
        </w:tc>
      </w:tr>
    </w:tbl>
    <w:p w14:paraId="4EE4A8B8">
      <w:pPr>
        <w:spacing w:after="40"/>
      </w:pPr>
    </w:p>
    <w:p w14:paraId="344DA347"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数据采集入口：大五人格测评、霍兰德兴趣测评、能力量表测评（9维）、上传简历解析、B站/小红书授权同步、情景模拟两难选择题（补"沟通协作""抗压与情绪"两维度的自评失真风险）。</w:t>
      </w:r>
    </w:p>
    <w:p w14:paraId="60B883DA">
      <w:pPr>
        <w:pStyle w:val="4"/>
      </w:pPr>
      <w:r>
        <w:rPr>
          <w:rFonts w:ascii="微软雅黑" w:hAnsi="微软雅黑" w:eastAsia="微软雅黑"/>
        </w:rPr>
        <w:t>4.2 板块二：我的榜样 —— 前人案例参照引擎</w:t>
      </w:r>
    </w:p>
    <w:p w14:paraId="1D022325"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基于六维画像在数据库中进行相似度匹配，推荐"人生榜样"。展示该榜样的人生轨迹时间轴——从大学起点到各关键节点（升学/转行/晋升/创业等），每个节点可点击查看当时面临的决策和后续结果。根据榜样轨迹，系统自动拆解用户的阶段目标。核心价值在于将抽象规划转化为具体、可感知的路径参照——对直觉依赖型学生尤其重要。</w:t>
      </w:r>
    </w:p>
    <w:p w14:paraId="0D0D8E5F"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冷启动策略：由华图教研专家标注100-200条典型路径案例（含正面/反面），构建初始正反案例库。案例积累到足够数量后，自动切换为余弦相似度匹配算法。</w:t>
      </w:r>
    </w:p>
    <w:p w14:paraId="66DE9653">
      <w:pPr>
        <w:pStyle w:val="4"/>
      </w:pPr>
      <w:r>
        <w:rPr>
          <w:rFonts w:ascii="微软雅黑" w:hAnsi="微软雅黑" w:eastAsia="微软雅黑"/>
        </w:rPr>
        <w:t>4.3 板块三：多赛道路径推演引擎</w:t>
      </w:r>
    </w:p>
    <w:p w14:paraId="6027A6A7"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覆盖公考、考研、出国、央国企、互联网、金融、教育、创业等8+主赛道。每个赛道拆解为年级x学期的关键节点、硬性条件（GPA/证书/实习）、软性能力要求。以四象限（难度-价值）可视化展示，支持3-4条路径并行对比。算法：冷启动阶段采用教研专家标注的区间匹配法，随用户数据积累后切换余弦相似度匹配。</w:t>
      </w:r>
    </w:p>
    <w:p w14:paraId="626291E4">
      <w:pPr>
        <w:pStyle w:val="4"/>
      </w:pPr>
      <w:r>
        <w:rPr>
          <w:rFonts w:ascii="微软雅黑" w:hAnsi="微软雅黑" w:eastAsia="微软雅黑"/>
        </w:rPr>
        <w:t>4.4 板块四：分年级阶段任务引擎</w:t>
      </w:r>
    </w:p>
    <w:p w14:paraId="0E76BE1D"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大一探索期（通识规划+兴趣发掘+行业认知拓展）、大二定向期（专业确认+辅修建议+证书规划+暑期实践）、大三冲刺期（核心备考计划+实习匹配+竞赛/项目）、大四决胜期（秋招/春招日历+笔面试训练+Offer决策）。每一项任务附带华图教研资料和推荐课程作为学习素材，学习记录实时回流至画像引擎。</w:t>
      </w:r>
    </w:p>
    <w:p w14:paraId="46B1A8A4">
      <w:pPr>
        <w:pStyle w:val="4"/>
      </w:pPr>
      <w:r>
        <w:rPr>
          <w:rFonts w:ascii="微软雅黑" w:hAnsi="微软雅黑" w:eastAsia="微软雅黑"/>
        </w:rPr>
        <w:t>4.5 板块五：AI成长顾问（多Agent协同）</w:t>
      </w:r>
    </w:p>
    <w:p w14:paraId="19E7685C"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能力提升Agent：专注于学业规划、备考策略、技能训练等"硬能力"领域，对接华图教研知识库。性格挖掘Agent：提供实时情感咨询和轻量性格测试，在日常对话中持续深化对学生的理解。两个Agent共享底层学生画像，洞察实时同步。</w:t>
      </w:r>
    </w:p>
    <w:p w14:paraId="2179E0DB">
      <w:pPr>
        <w:pStyle w:val="4"/>
      </w:pPr>
      <w:r>
        <w:rPr>
          <w:rFonts w:ascii="微软雅黑" w:hAnsi="微软雅黑" w:eastAsia="微软雅黑"/>
        </w:rPr>
        <w:t>4.6 板块六：规划执行与动态跟踪体系</w:t>
      </w:r>
    </w:p>
    <w:p w14:paraId="56F92074"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四子模块构成完整跟踪闭环：</w:t>
      </w:r>
    </w:p>
    <w:p w14:paraId="166FD4DA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游戏化进度条：按任务难度系数加权计算，两侧设"已完成/未完成"可展开区域。点击展开分别展示投入总时长和预估剩余时间。</w:t>
      </w:r>
    </w:p>
    <w:p w14:paraId="70345779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规划完成情况检测（日/周/月/学期四级）：任务完成率（分5档分处理）、目标偏离度（赛道预设核心要求对齐度）、匹配度漂移（增量画像重算+阈值触发重推演）、关键节点预警（L1/L2/L3+7/3/1天分级推送）。</w:t>
      </w:r>
    </w:p>
    <w:p w14:paraId="70CE04B7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身心状态报备与预警：可穿戴设备监测HRV+睡眠质量→应激事件检测→AI主动追问归因→重复标签标记"岗位风险"→纳入赛道匹配扣分项。比赛阶段用模拟数据流替代真实硬件。</w:t>
      </w:r>
    </w:p>
    <w:p w14:paraId="2ACCFCA6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阶段结束复盘：每阶段结束时生成总结报告+优化建议，基于案例库推荐下一阶段探索方向。</w:t>
      </w:r>
    </w:p>
    <w:p w14:paraId="23FF8B41">
      <w:pPr>
        <w:pStyle w:val="3"/>
      </w:pPr>
      <w:r>
        <w:rPr>
          <w:rFonts w:ascii="微软雅黑" w:hAnsi="微软雅黑" w:eastAsia="微软雅黑"/>
        </w:rPr>
        <w:t>五、技术架构设计</w:t>
      </w:r>
    </w:p>
    <w:p w14:paraId="4054487B">
      <w:pPr>
        <w:pStyle w:val="4"/>
      </w:pPr>
      <w:r>
        <w:rPr>
          <w:rFonts w:ascii="微软雅黑" w:hAnsi="微软雅黑" w:eastAsia="微软雅黑"/>
        </w:rPr>
        <w:t>5.1 整体架构</w:t>
      </w:r>
    </w:p>
    <w:p w14:paraId="77A12366"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四层架构：展现层（学生端H5/小程序 + 高校管理后台 + 运营看板）→ 应用层（学情画像/路径推演/任务引擎/AI顾问/数据报告/榜样匹配）→ AI引擎层（LLM对话引擎/画像建模引擎/路径推荐算法/任务生成引擎/多Agent协同）→ 数据层（用户画像库/赛道知识图谱/任务模板库/华图教研库/行为日志/正反案例库）。</w:t>
      </w:r>
    </w:p>
    <w:p w14:paraId="428F22E8">
      <w:pPr>
        <w:pStyle w:val="4"/>
      </w:pPr>
      <w:r>
        <w:rPr>
          <w:rFonts w:ascii="微软雅黑" w:hAnsi="微软雅黑" w:eastAsia="微软雅黑"/>
        </w:rPr>
        <w:t>5.2 三大AI核心引擎</w:t>
      </w:r>
    </w:p>
    <w:p w14:paraId="196F3262">
      <w:pPr>
        <w:spacing w:after="80" w:line="360" w:lineRule="exact"/>
      </w:pPr>
      <w:r>
        <w:rPr>
          <w:rFonts w:ascii="微软雅黑" w:hAnsi="微软雅黑" w:eastAsia="微软雅黑"/>
          <w:b/>
          <w:color w:val="00B894"/>
          <w:sz w:val="21"/>
        </w:rPr>
        <w:t>引擎一：学情画像建模引擎。</w:t>
      </w:r>
      <w:r>
        <w:rPr>
          <w:rFonts w:ascii="微软雅黑" w:hAnsi="微软雅黑" w:eastAsia="微软雅黑"/>
          <w:b w:val="0"/>
          <w:sz w:val="21"/>
        </w:rPr>
        <w:t>融合游戏化测评 + Agent对话挖掘 + 学习行为数据 + 情感交互记录，构建六维动态画像。后续通过持续行为日志和可穿戴数据进行增量更新——强调"主动知识沉淀"而非一次性测评。</w:t>
      </w:r>
    </w:p>
    <w:p w14:paraId="3345E6E0">
      <w:pPr>
        <w:spacing w:after="80" w:line="360" w:lineRule="exact"/>
      </w:pPr>
      <w:r>
        <w:rPr>
          <w:rFonts w:ascii="微软雅黑" w:hAnsi="微软雅黑" w:eastAsia="微软雅黑"/>
          <w:b/>
          <w:color w:val="00B894"/>
          <w:sz w:val="21"/>
        </w:rPr>
        <w:t>引擎二：赛道匹配与路径推演引擎。</w:t>
      </w:r>
      <w:r>
        <w:rPr>
          <w:rFonts w:ascii="微软雅黑" w:hAnsi="微软雅黑" w:eastAsia="微软雅黑"/>
          <w:b w:val="0"/>
          <w:sz w:val="21"/>
        </w:rPr>
        <w:t>两阶段算法：冷启动——教研专家标注100-200条典型路径案例+赛道理想画像区间，学生与区间做匹配；数据积累后——自动切换余弦相似度匹配，用赛道成功者的画像均值向量作为"理想画像"。技术路线：知识图谱（Neo4j）+ 余弦相似度 + 专家区间标注。</w:t>
      </w:r>
    </w:p>
    <w:p w14:paraId="0D6108AC">
      <w:pPr>
        <w:spacing w:after="80" w:line="360" w:lineRule="exact"/>
      </w:pPr>
      <w:r>
        <w:rPr>
          <w:rFonts w:ascii="微软雅黑" w:hAnsi="微软雅黑" w:eastAsia="微软雅黑"/>
          <w:b/>
          <w:color w:val="00B894"/>
          <w:sz w:val="21"/>
        </w:rPr>
        <w:t>引擎三：阶段任务生成引擎。</w:t>
      </w:r>
      <w:r>
        <w:rPr>
          <w:rFonts w:ascii="微软雅黑" w:hAnsi="微软雅黑" w:eastAsia="微软雅黑"/>
          <w:b w:val="0"/>
          <w:sz w:val="21"/>
        </w:rPr>
        <w:t>赛道 x 年级 x 能力差距 x 节点日历 → LLM生成学期任务清单+推荐资源，支持自然语言动态切换和重新推演。技术路线：LLM + 规则引擎 + 模板库。</w:t>
      </w:r>
    </w:p>
    <w:p w14:paraId="036D22FF">
      <w:pPr>
        <w:pStyle w:val="4"/>
      </w:pPr>
      <w:r>
        <w:rPr>
          <w:rFonts w:ascii="微软雅黑" w:hAnsi="微软雅黑" w:eastAsia="微软雅黑"/>
        </w:rPr>
        <w:t>5.3 核心技术栈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51"/>
        <w:gridCol w:w="3685"/>
      </w:tblGrid>
      <w:tr w14:paraId="731C89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03A65E5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技术模块</w:t>
            </w:r>
          </w:p>
        </w:tc>
        <w:tc>
          <w:tcPr>
            <w:tcW w:w="2551" w:type="dxa"/>
          </w:tcPr>
          <w:p w14:paraId="1F454F44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推荐方案</w:t>
            </w:r>
          </w:p>
        </w:tc>
        <w:tc>
          <w:tcPr>
            <w:tcW w:w="3685" w:type="dxa"/>
          </w:tcPr>
          <w:p w14:paraId="724ABD39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 w14:paraId="48B1EF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28146C3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大语言模型</w:t>
            </w:r>
          </w:p>
        </w:tc>
        <w:tc>
          <w:tcPr>
            <w:tcW w:w="2551" w:type="dxa"/>
          </w:tcPr>
          <w:p w14:paraId="28EE954C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混元/DeepSeek/文心</w:t>
            </w:r>
          </w:p>
        </w:tc>
        <w:tc>
          <w:tcPr>
            <w:tcW w:w="3685" w:type="dxa"/>
          </w:tcPr>
          <w:p w14:paraId="68CDC775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对话交互、文本生成、知识问答</w:t>
            </w:r>
          </w:p>
        </w:tc>
      </w:tr>
      <w:tr w14:paraId="7BA489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7E66122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知识图谱</w:t>
            </w:r>
          </w:p>
        </w:tc>
        <w:tc>
          <w:tcPr>
            <w:tcW w:w="2551" w:type="dxa"/>
          </w:tcPr>
          <w:p w14:paraId="279A2D9A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Neo4j + 自研Schema</w:t>
            </w:r>
          </w:p>
        </w:tc>
        <w:tc>
          <w:tcPr>
            <w:tcW w:w="3685" w:type="dxa"/>
          </w:tcPr>
          <w:p w14:paraId="13696CA7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赛道路径、条件节点、关联关系存储</w:t>
            </w:r>
          </w:p>
        </w:tc>
      </w:tr>
      <w:tr w14:paraId="07E874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F3D79F8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推荐算法</w:t>
            </w:r>
          </w:p>
        </w:tc>
        <w:tc>
          <w:tcPr>
            <w:tcW w:w="2551" w:type="dxa"/>
          </w:tcPr>
          <w:p w14:paraId="1FC8EDE0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余弦相似度 + 专家标注冷启动</w:t>
            </w:r>
          </w:p>
        </w:tc>
        <w:tc>
          <w:tcPr>
            <w:tcW w:w="3685" w:type="dxa"/>
          </w:tcPr>
          <w:p w14:paraId="686343CB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赛道-学生匹配度排序</w:t>
            </w:r>
          </w:p>
        </w:tc>
      </w:tr>
      <w:tr w14:paraId="266DE0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3731BA3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前端</w:t>
            </w:r>
          </w:p>
        </w:tc>
        <w:tc>
          <w:tcPr>
            <w:tcW w:w="2551" w:type="dxa"/>
          </w:tcPr>
          <w:p w14:paraId="0F1E25B6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React + Vite</w:t>
            </w:r>
          </w:p>
        </w:tc>
        <w:tc>
          <w:tcPr>
            <w:tcW w:w="3685" w:type="dxa"/>
          </w:tcPr>
          <w:p w14:paraId="2C59F1E9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SPA应用，响应式布局</w:t>
            </w:r>
          </w:p>
        </w:tc>
      </w:tr>
      <w:tr w14:paraId="25D4EF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7217DD3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后端</w:t>
            </w:r>
          </w:p>
        </w:tc>
        <w:tc>
          <w:tcPr>
            <w:tcW w:w="2551" w:type="dxa"/>
          </w:tcPr>
          <w:p w14:paraId="6464C308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Python FastAPI</w:t>
            </w:r>
          </w:p>
        </w:tc>
        <w:tc>
          <w:tcPr>
            <w:tcW w:w="3685" w:type="dxa"/>
          </w:tcPr>
          <w:p w14:paraId="1C2531DA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高并发、微服务架构</w:t>
            </w:r>
          </w:p>
        </w:tc>
      </w:tr>
      <w:tr w14:paraId="1259D6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44B4189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数据存储</w:t>
            </w:r>
          </w:p>
        </w:tc>
        <w:tc>
          <w:tcPr>
            <w:tcW w:w="2551" w:type="dxa"/>
          </w:tcPr>
          <w:p w14:paraId="664BF263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MySQL + Redis + ES</w:t>
            </w:r>
          </w:p>
        </w:tc>
        <w:tc>
          <w:tcPr>
            <w:tcW w:w="3685" w:type="dxa"/>
          </w:tcPr>
          <w:p w14:paraId="06D77BE5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结构化存储 + 缓存 + 全文检索</w:t>
            </w:r>
          </w:p>
        </w:tc>
      </w:tr>
      <w:tr w14:paraId="5A5ACB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E797A4A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可视化</w:t>
            </w:r>
          </w:p>
        </w:tc>
        <w:tc>
          <w:tcPr>
            <w:tcW w:w="2551" w:type="dxa"/>
          </w:tcPr>
          <w:p w14:paraId="11CBCB57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ECharts / D3.js</w:t>
            </w:r>
          </w:p>
        </w:tc>
        <w:tc>
          <w:tcPr>
            <w:tcW w:w="3685" w:type="dxa"/>
          </w:tcPr>
          <w:p w14:paraId="6841A0D4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雷达图、路径对比、进度条</w:t>
            </w:r>
          </w:p>
        </w:tc>
      </w:tr>
    </w:tbl>
    <w:p w14:paraId="55750D05">
      <w:pPr>
        <w:spacing w:after="40"/>
      </w:pPr>
    </w:p>
    <w:p w14:paraId="57806BD9">
      <w:pPr>
        <w:pStyle w:val="3"/>
      </w:pPr>
      <w:r>
        <w:rPr>
          <w:rFonts w:ascii="微软雅黑" w:hAnsi="微软雅黑" w:eastAsia="微软雅黑"/>
        </w:rPr>
        <w:t>六、商业模式设计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2551"/>
        <w:gridCol w:w="2268"/>
      </w:tblGrid>
      <w:tr w14:paraId="26B683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5875F16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模式层</w:t>
            </w:r>
          </w:p>
        </w:tc>
        <w:tc>
          <w:tcPr>
            <w:tcW w:w="1701" w:type="dxa"/>
          </w:tcPr>
          <w:p w14:paraId="71A60632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目标客户</w:t>
            </w:r>
          </w:p>
        </w:tc>
        <w:tc>
          <w:tcPr>
            <w:tcW w:w="2551" w:type="dxa"/>
          </w:tcPr>
          <w:p w14:paraId="4962EA6E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产品形态</w:t>
            </w:r>
          </w:p>
        </w:tc>
        <w:tc>
          <w:tcPr>
            <w:tcW w:w="2268" w:type="dxa"/>
          </w:tcPr>
          <w:p w14:paraId="718CCA07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变现方式</w:t>
            </w:r>
          </w:p>
        </w:tc>
      </w:tr>
      <w:tr w14:paraId="7EA0EF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60B6800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基础层（免费）</w:t>
            </w:r>
          </w:p>
        </w:tc>
        <w:tc>
          <w:tcPr>
            <w:tcW w:w="1701" w:type="dxa"/>
          </w:tcPr>
          <w:p w14:paraId="16BBE7B2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C端全体大学生</w:t>
            </w:r>
          </w:p>
        </w:tc>
        <w:tc>
          <w:tcPr>
            <w:tcW w:w="2551" w:type="dxa"/>
          </w:tcPr>
          <w:p w14:paraId="7FC966CE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基础画像 + 概览路径 + AI问答（日限额）</w:t>
            </w:r>
          </w:p>
        </w:tc>
        <w:tc>
          <w:tcPr>
            <w:tcW w:w="2268" w:type="dxa"/>
          </w:tcPr>
          <w:p w14:paraId="6D7DDB1B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流量入口，构建用户池</w:t>
            </w:r>
          </w:p>
        </w:tc>
      </w:tr>
      <w:tr w14:paraId="256336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82D3CEF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进阶层（会员）</w:t>
            </w:r>
          </w:p>
        </w:tc>
        <w:tc>
          <w:tcPr>
            <w:tcW w:w="1701" w:type="dxa"/>
          </w:tcPr>
          <w:p w14:paraId="3BFE8CAC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C端付费学生</w:t>
            </w:r>
          </w:p>
        </w:tc>
        <w:tc>
          <w:tcPr>
            <w:tcW w:w="2551" w:type="dxa"/>
          </w:tcPr>
          <w:p w14:paraId="489940BC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深度规划报告 + 动态任务引擎 + 无限制AI顾问</w:t>
            </w:r>
          </w:p>
        </w:tc>
        <w:tc>
          <w:tcPr>
            <w:tcW w:w="2268" w:type="dxa"/>
          </w:tcPr>
          <w:p w14:paraId="3BE0F0B9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会员订阅 99-299元/年</w:t>
            </w:r>
          </w:p>
        </w:tc>
      </w:tr>
      <w:tr w14:paraId="4361EF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DEEF655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企业层（B端）</w:t>
            </w:r>
          </w:p>
        </w:tc>
        <w:tc>
          <w:tcPr>
            <w:tcW w:w="1701" w:type="dxa"/>
          </w:tcPr>
          <w:p w14:paraId="23C73618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高校就业中心/院系</w:t>
            </w:r>
          </w:p>
        </w:tc>
        <w:tc>
          <w:tcPr>
            <w:tcW w:w="2551" w:type="dxa"/>
          </w:tcPr>
          <w:p w14:paraId="7E4F8000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学情数据看板 + 批量辅导工具 + 定制化报告</w:t>
            </w:r>
          </w:p>
        </w:tc>
        <w:tc>
          <w:tcPr>
            <w:tcW w:w="2268" w:type="dxa"/>
          </w:tcPr>
          <w:p w14:paraId="5A3E2309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SaaS年费 5-50万/校</w:t>
            </w:r>
          </w:p>
        </w:tc>
      </w:tr>
      <w:tr w14:paraId="3FC63B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B28AA9E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生态层</w:t>
            </w:r>
          </w:p>
        </w:tc>
        <w:tc>
          <w:tcPr>
            <w:tcW w:w="1701" w:type="dxa"/>
          </w:tcPr>
          <w:p w14:paraId="40466B1A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华图内部</w:t>
            </w:r>
          </w:p>
        </w:tc>
        <w:tc>
          <w:tcPr>
            <w:tcW w:w="2551" w:type="dxa"/>
          </w:tcPr>
          <w:p w14:paraId="31FABF7A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精准导流至课程/培训产品</w:t>
            </w:r>
          </w:p>
        </w:tc>
        <w:tc>
          <w:tcPr>
            <w:tcW w:w="2268" w:type="dxa"/>
          </w:tcPr>
          <w:p w14:paraId="2DD5099D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降低获客成本30%+ 提升LTV</w:t>
            </w:r>
          </w:p>
        </w:tc>
      </w:tr>
    </w:tbl>
    <w:p w14:paraId="13C63613">
      <w:pPr>
        <w:spacing w:after="40"/>
      </w:pPr>
    </w:p>
    <w:p w14:paraId="751E4EEC"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增长飞轮：免费规划吸引海量学生 → 画像数据沉淀 → 规划精准度持续提升 → 口碑传播 → 更多学生加入 → 高校端合作 → 渠道覆盖扩大 → 数据与模型竞争力增强 → 循环。</w:t>
      </w:r>
    </w:p>
    <w:p w14:paraId="5A4D6823">
      <w:pPr>
        <w:spacing w:after="40"/>
      </w:pPr>
    </w:p>
    <w:p w14:paraId="0A8220CC">
      <w:pPr>
        <w:pStyle w:val="3"/>
      </w:pPr>
      <w:r>
        <w:rPr>
          <w:rFonts w:ascii="微软雅黑" w:hAnsi="微软雅黑" w:eastAsia="微软雅黑"/>
        </w:rPr>
        <w:t>八、核心创新点</w:t>
      </w:r>
    </w:p>
    <w:p w14:paraId="3E382E05">
      <w:pPr>
        <w:spacing w:after="80" w:line="360" w:lineRule="exact"/>
      </w:pPr>
      <w:r>
        <w:rPr>
          <w:rFonts w:ascii="微软雅黑" w:hAnsi="微软雅黑" w:eastAsia="微软雅黑"/>
          <w:b/>
          <w:color w:val="1A2233"/>
          <w:sz w:val="21"/>
        </w:rPr>
        <w:t>创新一：目的先行 —— 范式层面的差异。</w:t>
      </w:r>
    </w:p>
    <w:p w14:paraId="39724AEA"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所有竞品默认学生以"自我实现"为单一目标，本产品强制用户在起点选择"我做职业规划是为了什么"（自我实现/经济独立/摆脱原生家庭/体验多元人生）。SDT证明自主性需求满足直接预测决策质量（r=0.685）。这一设计不是增量的功能优化，而是对"职业规划"这件事本身的重新定义——从"帮你找最好的路"变为"先帮你想清楚你为什么要走路"。</w:t>
      </w:r>
    </w:p>
    <w:p w14:paraId="6E9E88FA">
      <w:pPr>
        <w:spacing w:after="80" w:line="360" w:lineRule="exact"/>
      </w:pPr>
    </w:p>
    <w:p w14:paraId="3634FA57">
      <w:pPr>
        <w:spacing w:after="80" w:line="360" w:lineRule="exact"/>
      </w:pPr>
      <w:r>
        <w:rPr>
          <w:rFonts w:ascii="微软雅黑" w:hAnsi="微软雅黑" w:eastAsia="微软雅黑"/>
          <w:b/>
          <w:color w:val="1A2233"/>
          <w:sz w:val="21"/>
        </w:rPr>
        <w:t>创新二：客观约束与主观偏好解耦。</w:t>
      </w:r>
    </w:p>
    <w:p w14:paraId="41A84ECC"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先按家庭条件、身体机能、精力阈值划定可行性区间，再结合兴趣与价值观调优——杜绝"测出来你适合做咨询但你家掏不起MBA学费"的脱离现实规划。实现路径：家庭约束旁注（影响"哪些路径可行"而不参与打分）+ 可穿戴生理监测（检测到应激事件自动追问归因，重复标签标记"岗位风险"）。两项均为行业首创。</w:t>
      </w:r>
    </w:p>
    <w:p w14:paraId="21F88B29">
      <w:pPr>
        <w:spacing w:after="80" w:line="360" w:lineRule="exact"/>
      </w:pPr>
    </w:p>
    <w:p w14:paraId="13A8D79C">
      <w:pPr>
        <w:spacing w:after="80" w:line="360" w:lineRule="exact"/>
      </w:pPr>
      <w:r>
        <w:rPr>
          <w:rFonts w:hint="eastAsia"/>
          <w:b/>
          <w:bCs/>
        </w:rPr>
        <w:t>创新三：前人案例正向匹配 —— "我的榜样"参照引擎。</w:t>
      </w:r>
    </w:p>
    <w:p w14:paraId="14225E63">
      <w:pPr>
        <w:spacing w:after="80" w:line="360" w:lineRule="exact"/>
        <w:rPr>
          <w:rFonts w:hint="eastAsia"/>
        </w:rPr>
      </w:pPr>
      <w:r>
        <w:rPr>
          <w:rFonts w:hint="eastAsia"/>
        </w:rPr>
        <w:t>本产品首创"人生榜样"正向匹配机制：基于六维画像（性格、能力、兴趣、家庭约束、生理指标、价值观）在数据库中进行相似度匹配，找到1-2位与用户背景高度相似且已达成目标的真实案例，将其作为"榜样"推送给用户。展示该榜样完整的人生轨迹时间轴——从大学起点到各关键节点（考证/实习/转方向/上岸/晋升），每个节点可点击查看当时的决策、选择的代价和最终结果。</w:t>
      </w:r>
    </w:p>
    <w:p w14:paraId="0CDE26F5">
      <w:pPr>
        <w:spacing w:after="80" w:line="360" w:lineRule="exact"/>
      </w:pPr>
    </w:p>
    <w:p w14:paraId="55AC75F6">
      <w:pPr>
        <w:spacing w:after="80" w:line="360" w:lineRule="exact"/>
      </w:pPr>
      <w:r>
        <w:rPr>
          <w:rFonts w:ascii="微软雅黑" w:hAnsi="微软雅黑" w:eastAsia="微软雅黑"/>
          <w:b/>
          <w:color w:val="1A2233"/>
          <w:sz w:val="21"/>
        </w:rPr>
        <w:t>创新四：多Agent协同 + 游戏化冷启动。</w:t>
      </w:r>
    </w:p>
    <w:p w14:paraId="5C9045D9"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能力提升Agent（学业/备考/技能）与性格挖掘Agent（情感/个性挖掘）分工协作，共享底层画像，保证各领域服务深度。首次使用时通过"模拟人生"式场景选择小游戏，让学生在沉浸式互动中自然暴露性格偏好和价值取向——告别枯燥问卷，降低用户启动门槛。</w:t>
      </w:r>
    </w:p>
    <w:p w14:paraId="51829414">
      <w:pPr>
        <w:spacing w:after="80" w:line="360" w:lineRule="exact"/>
      </w:pPr>
    </w:p>
    <w:p w14:paraId="59789842">
      <w:pPr>
        <w:spacing w:after="80" w:line="360" w:lineRule="exact"/>
      </w:pPr>
      <w:r>
        <w:rPr>
          <w:rFonts w:ascii="微软雅黑" w:hAnsi="微软雅黑" w:eastAsia="微软雅黑"/>
          <w:b/>
          <w:color w:val="1A2233"/>
          <w:sz w:val="21"/>
        </w:rPr>
        <w:t>创新五：数据闭环与持续进化。</w:t>
      </w:r>
    </w:p>
    <w:p w14:paraId="75E50173"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从被动询问到主动知识沉淀——学生每次学习、每次提问、每次情绪表达都回流至画像模型，形成"规划→执行→数据沉淀→画像刷新→更精准规划"的自进化闭环。就业后回访数据验证，持续优化推荐准确率。</w:t>
      </w:r>
    </w:p>
    <w:p w14:paraId="1262233A">
      <w:pPr>
        <w:pStyle w:val="3"/>
      </w:pPr>
      <w:r>
        <w:rPr>
          <w:rFonts w:ascii="微软雅黑" w:hAnsi="微软雅黑" w:eastAsia="微软雅黑"/>
        </w:rPr>
        <w:t>九、预期价值与成果</w:t>
      </w:r>
    </w:p>
    <w:p w14:paraId="6577C233">
      <w:pPr>
        <w:pStyle w:val="4"/>
      </w:pPr>
      <w:r>
        <w:rPr>
          <w:rFonts w:ascii="微软雅黑" w:hAnsi="微软雅黑" w:eastAsia="微软雅黑"/>
        </w:rPr>
        <w:t>9.1 商业价值</w:t>
      </w:r>
    </w:p>
    <w:p w14:paraId="239EED6D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流量入口：免费规划服务预计12个月覆盖100万+用户，获客成本趋近于零。</w:t>
      </w:r>
    </w:p>
    <w:p w14:paraId="7CA123C1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精准转化：基于画像的课程推荐预计转化率提升3-5倍，降低华图整体获客成本30%以上。</w:t>
      </w:r>
    </w:p>
    <w:p w14:paraId="11998D0F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B端营收：高校SaaS服务首年合作50+高校，贡献千万级营收。</w:t>
      </w:r>
    </w:p>
    <w:p w14:paraId="75D6403B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数据资产：积累百万级大学生成长数据，形成行业独有的学情数据库，构建长期竞争壁垒。</w:t>
      </w:r>
    </w:p>
    <w:p w14:paraId="57EE5649">
      <w:pPr>
        <w:pStyle w:val="4"/>
      </w:pPr>
      <w:r>
        <w:rPr>
          <w:rFonts w:ascii="微软雅黑" w:hAnsi="微软雅黑" w:eastAsia="微软雅黑"/>
        </w:rPr>
        <w:t>9.2 社会价值</w:t>
      </w:r>
    </w:p>
    <w:p w14:paraId="71274176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教育公平：AI规划服务打破地域与资源壁垒，二三线城市学生与一线城市享受同等质量的成长规划。缩小"小镇做题家"与优势家庭学生在"大学规则"认知上的信息鸿沟。</w:t>
      </w:r>
    </w:p>
    <w:p w14:paraId="58031B4A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就业促进：从源头缓解"就业难"与"招工难"的结构性矛盾——帮助学生区分"我能做什么""我适合做什么""我愿意付出什么代价去做"。</w:t>
      </w:r>
    </w:p>
    <w:p w14:paraId="27CF9180"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人才培养效率：缩短学生从校园到职场的适应周期，为社会输送更有准备的人才。</w:t>
      </w:r>
    </w:p>
    <w:p w14:paraId="21C7D715">
      <w:pPr>
        <w:spacing w:after="80" w:line="360" w:lineRule="exact"/>
      </w:pPr>
    </w:p>
    <w:p w14:paraId="071393BB">
      <w:pPr>
        <w:spacing w:after="80" w:line="360" w:lineRule="exact"/>
      </w:pPr>
      <w:r>
        <w:rPr>
          <w:rFonts w:ascii="微软雅黑" w:hAnsi="微软雅黑" w:eastAsia="微软雅黑"/>
          <w:b/>
          <w:color w:val="00B894"/>
          <w:sz w:val="21"/>
        </w:rPr>
        <w:t>一句话愿景：</w:t>
      </w:r>
      <w:r>
        <w:rPr>
          <w:rFonts w:ascii="微软雅黑" w:hAnsi="微软雅黑" w:eastAsia="微软雅黑"/>
          <w:b w:val="0"/>
          <w:sz w:val="21"/>
        </w:rPr>
        <w:t>让每一位大学生，都拥有一份属于自己的、看得见未来的成长地图。</w:t>
      </w:r>
    </w:p>
    <w:p w14:paraId="1FDF60A5">
      <w:pPr>
        <w:spacing w:after="80" w:line="360" w:lineRule="exact"/>
      </w:pP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GENIS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A7299E"/>
    <w:rsid w:val="7EA2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exact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4716</Words>
  <Characters>5179</Characters>
  <Lines>0</Lines>
  <Paragraphs>0</Paragraphs>
  <TotalTime>2</TotalTime>
  <ScaleCrop>false</ScaleCrop>
  <LinksUpToDate>false</LinksUpToDate>
  <CharactersWithSpaces>5293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WPS_1771987873</cp:lastModifiedBy>
  <dcterms:modified xsi:type="dcterms:W3CDTF">2026-07-19T03:37:35Z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eyJoZGlkIjoiNDQ1NzMzMmQ1NWQ2Y2RiNjBhN2I0MWNiOTRjN2Q3YjMiLCJ1c2VySWQiOiIxODA1MjExMDU5In0=</vt:lpwstr>
  </property>
  <property fmtid="{D5CDD505-2E9C-101B-9397-08002B2CF9AE}" pid="3" name="KSOProductBuildVer">
    <vt:lpwstr>2052-12.1.0.26895</vt:lpwstr>
  </property>
  <property fmtid="{D5CDD505-2E9C-101B-9397-08002B2CF9AE}" pid="4" name="ICV">
    <vt:lpwstr>98E7CE09B84D41DE8BDC00B6AF020A0E_12</vt:lpwstr>
  </property>
</Properties>
</file>