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numPr>
          <w:ilvl w:val="0"/>
          <w:numId w:val="1"/>
        </w:numPr>
        <w:pBdr/>
        <w:spacing w:after="120" w:before="120"/>
        <w:ind/>
        <w:jc w:val="center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 xml:space="preserve">问题</w:t>
      </w:r>
      <w:r>
        <w:rPr>
          <w:rFonts w:hint="eastAsia" w:ascii="黑体" w:hAnsi="黑体" w:eastAsia="黑体" w:cs="黑体"/>
          <w:sz w:val="28"/>
          <w:szCs w:val="28"/>
        </w:rPr>
        <w:t xml:space="preserve">一</w:t>
      </w:r>
      <w:r>
        <w:rPr>
          <w:rFonts w:hint="eastAsia" w:ascii="黑体" w:hAnsi="黑体" w:eastAsia="黑体" w:cs="黑体"/>
          <w:sz w:val="28"/>
          <w:szCs w:val="28"/>
        </w:rPr>
        <w:t xml:space="preserve">模型的建立与求解</w:t>
      </w:r>
      <w:r>
        <w:rPr>
          <w:rFonts w:hint="eastAsia" w:ascii="黑体" w:hAnsi="黑体" w:eastAsia="黑体" w:cs="黑体"/>
          <w:sz w:val="28"/>
          <w:szCs w:val="28"/>
        </w:rPr>
      </w:r>
      <w:r>
        <w:rPr>
          <w:rFonts w:hint="eastAsia" w:ascii="黑体" w:hAnsi="黑体" w:eastAsia="黑体" w:cs="黑体"/>
          <w:sz w:val="28"/>
          <w:szCs w:val="28"/>
        </w:rPr>
      </w:r>
    </w:p>
    <w:p>
      <w:pPr>
        <w:pBdr/>
        <w:spacing w:after="120" w:before="120"/>
        <w:ind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 xml:space="preserve">6.1</w:t>
      </w:r>
      <w:r>
        <w:rPr>
          <w:rFonts w:hint="eastAsia" w:ascii="黑体" w:hAnsi="黑体" w:eastAsia="黑体" w:cs="黑体"/>
          <w:sz w:val="24"/>
        </w:rPr>
        <w:t xml:space="preserve">数据</w:t>
      </w:r>
      <w:r>
        <w:rPr>
          <w:rFonts w:hint="eastAsia" w:ascii="黑体" w:hAnsi="黑体" w:eastAsia="黑体" w:cs="黑体"/>
          <w:sz w:val="24"/>
        </w:rPr>
        <w:t xml:space="preserve">侧写与</w:t>
      </w:r>
      <w:r>
        <w:rPr>
          <w:rFonts w:hint="eastAsia" w:ascii="黑体" w:hAnsi="黑体" w:eastAsia="黑体" w:cs="黑体"/>
          <w:sz w:val="24"/>
        </w:rPr>
        <w:t xml:space="preserve">预处理</w:t>
      </w:r>
      <w:r>
        <w:rPr>
          <w:rFonts w:ascii="黑体" w:hAnsi="黑体" w:eastAsia="黑体" w:cs="黑体"/>
          <w:sz w:val="24"/>
        </w:rPr>
      </w:r>
      <w:r>
        <w:rPr>
          <w:rFonts w:ascii="黑体" w:hAnsi="黑体" w:eastAsia="黑体" w:cs="黑体"/>
          <w:sz w:val="24"/>
        </w:rPr>
      </w:r>
    </w:p>
    <w:p>
      <w:pPr>
        <w:pBdr/>
        <w:spacing w:after="120" w:before="120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先用筛选可能的异常值，主要包括负数供应量等。</w:t>
      </w:r>
      <w:r>
        <w:rPr>
          <w:rFonts w:ascii="宋体" w:hAnsi="宋体" w:eastAsia="宋体" w:cs="宋体"/>
          <w:sz w:val="24"/>
        </w:rPr>
      </w:r>
      <w:r>
        <w:rPr>
          <w:rFonts w:ascii="宋体" w:hAnsi="宋体" w:eastAsia="宋体" w:cs="宋体"/>
          <w:sz w:val="24"/>
        </w:rPr>
      </w:r>
    </w:p>
    <w:p>
      <w:pPr>
        <w:pBdr/>
        <w:spacing w:after="120" w:before="120"/>
        <w:ind/>
        <w:rPr>
          <w:rFonts w:hint="eastAsia" w:ascii="黑体" w:hAnsi="黑体" w:eastAsia="黑体" w:cs="黑体"/>
          <w:sz w:val="24"/>
        </w:rPr>
      </w:pPr>
      <w:r/>
      <w:bookmarkStart w:id="0" w:name="_Hlk207362796"/>
      <w:r>
        <w:rPr>
          <w:rFonts w:hint="eastAsia" w:ascii="黑体" w:hAnsi="黑体" w:eastAsia="黑体" w:cs="黑体"/>
          <w:sz w:val="24"/>
        </w:rPr>
        <w:t xml:space="preserve">6.1.1</w:t>
      </w:r>
      <w:r>
        <w:rPr>
          <w:rFonts w:hint="eastAsia" w:ascii="黑体" w:hAnsi="黑体" w:eastAsia="黑体" w:cs="黑体"/>
          <w:sz w:val="24"/>
        </w:rPr>
        <w:t xml:space="preserve">供给侧</w:t>
      </w:r>
      <w:r>
        <w:rPr>
          <w:rFonts w:hint="eastAsia" w:ascii="黑体" w:hAnsi="黑体" w:eastAsia="黑体" w:cs="黑体"/>
          <w:sz w:val="24"/>
        </w:rPr>
        <w:t xml:space="preserve">观察</w:t>
      </w:r>
      <w:bookmarkEnd w:id="0"/>
      <w:r>
        <w:rPr>
          <w:rFonts w:hint="eastAsia" w:ascii="黑体" w:hAnsi="黑体" w:eastAsia="黑体" w:cs="黑体"/>
          <w:sz w:val="24"/>
        </w:rPr>
      </w:r>
      <w:r>
        <w:rPr>
          <w:rFonts w:hint="eastAsia" w:ascii="黑体" w:hAnsi="黑体" w:eastAsia="黑体" w:cs="黑体"/>
          <w:sz w:val="24"/>
        </w:rPr>
      </w:r>
    </w:p>
    <w:p>
      <w:pPr>
        <w:pBdr/>
        <w:spacing w:after="120" w:before="120"/>
        <w:ind w:firstLine="420"/>
        <w:rPr>
          <w:rFonts w:ascii="宋体" w:hAnsi="宋体" w:eastAsia="宋体" w:cs="宋体"/>
          <w:i/>
          <w:iCs/>
          <w:color w:val="00b0f0"/>
          <w:sz w:val="24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556260</wp:posOffset>
                </wp:positionV>
                <wp:extent cx="3920000" cy="1440000"/>
                <wp:effectExtent l="0" t="0" r="4445" b="8255"/>
                <wp:wrapTopAndBottom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26848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920000" cy="14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60288;o:allowoverlap:true;o:allowincell:true;mso-position-horizontal-relative:text;margin-left:45.00pt;mso-position-horizontal:absolute;mso-position-vertical-relative:text;margin-top:43.80pt;mso-position-vertical:absolute;width:308.66pt;height:113.39pt;mso-wrap-distance-left:9.00pt;mso-wrap-distance-top:0.00pt;mso-wrap-distance-right:9.00pt;mso-wrap-distance-bottom:0.00pt;z-index:1;" stroked="false">
                <w10:wrap type="topAndBottom"/>
                <v:imagedata r:id="rId9" o:title=""/>
                <o:lock v:ext="edit" rotation="t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</w:rPr>
        <w:t xml:space="preserve">提供不同材料商家的频率统计。</w:t>
      </w:r>
      <w:r>
        <w:rPr>
          <w:rFonts w:hint="eastAsia" w:ascii="宋体" w:hAnsi="宋体" w:eastAsia="宋体" w:cs="宋体"/>
          <w:sz w:val="24"/>
        </w:rPr>
        <w:t xml:space="preserve">由此可见</w:t>
      </w:r>
      <w:r>
        <w:rPr>
          <w:rFonts w:hint="eastAsia" w:ascii="宋体" w:hAnsi="宋体" w:eastAsia="宋体" w:cs="宋体"/>
          <w:i/>
          <w:iCs/>
          <w:color w:val="00b0f0"/>
          <w:sz w:val="24"/>
        </w:rPr>
        <w:t xml:space="preserve">（</w:t>
      </w:r>
      <w:r>
        <w:rPr>
          <w:rFonts w:hint="eastAsia" w:ascii="宋体" w:hAnsi="宋体" w:eastAsia="宋体" w:cs="宋体"/>
          <w:i/>
          <w:iCs/>
          <w:color w:val="00b0f0"/>
          <w:sz w:val="24"/>
        </w:rPr>
        <w:t xml:space="preserve">可以换成一个饼状图</w:t>
      </w:r>
      <w:r>
        <w:rPr>
          <w:rFonts w:hint="eastAsia" w:ascii="宋体" w:hAnsi="宋体" w:eastAsia="宋体" w:cs="宋体"/>
          <w:i/>
          <w:iCs/>
          <w:color w:val="00b0f0"/>
          <w:sz w:val="24"/>
        </w:rPr>
        <w:t xml:space="preserve">）</w:t>
      </w:r>
      <w:r>
        <w:rPr>
          <w:rFonts w:hint="eastAsia" w:ascii="宋体" w:hAnsi="宋体" w:eastAsia="宋体" w:cs="宋体"/>
          <w:sz w:val="24"/>
        </w:rPr>
        <w:t xml:space="preserve">提供A类材料的厂家最多，</w:t>
      </w:r>
      <w:r>
        <w:rPr>
          <w:rFonts w:hint="eastAsia" w:ascii="宋体" w:hAnsi="宋体" w:eastAsia="宋体" w:cs="宋体"/>
          <w:sz w:val="24"/>
        </w:rPr>
        <w:t xml:space="preserve">B、C材料提供厂家递次减少，但总体而言分布较为均匀。</w:t>
      </w:r>
      <w:r>
        <w:rPr>
          <w:rFonts w:ascii="宋体" w:hAnsi="宋体" w:eastAsia="宋体" w:cs="宋体"/>
          <w:i/>
          <w:iCs/>
          <w:color w:val="00b0f0"/>
          <w:sz w:val="24"/>
        </w:rPr>
      </w:r>
      <w:r>
        <w:rPr>
          <w:rFonts w:ascii="宋体" w:hAnsi="宋体" w:eastAsia="宋体" w:cs="宋体"/>
          <w:i/>
          <w:iCs/>
          <w:color w:val="00b0f0"/>
          <w:sz w:val="24"/>
        </w:rPr>
      </w:r>
    </w:p>
    <w:p>
      <w:pPr>
        <w:pBdr/>
        <w:spacing w:after="120" w:before="120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在对每周的A、B、C类原材料供应需求量分别汇总。再进行描述性统计。</w:t>
      </w:r>
      <w:r>
        <w:rPr>
          <w:rFonts w:ascii="宋体" w:hAnsi="宋体" w:eastAsia="宋体" w:cs="宋体"/>
          <w:sz w:val="24"/>
        </w:rPr>
      </w:r>
      <w:r>
        <w:rPr>
          <w:rFonts w:ascii="宋体" w:hAnsi="宋体" w:eastAsia="宋体" w:cs="宋体"/>
          <w:sz w:val="24"/>
        </w:rPr>
      </w:r>
    </w:p>
    <w:p>
      <w:pPr>
        <w:pBdr/>
        <w:spacing w:after="120" w:before="120"/>
        <w:ind w:firstLine="48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</w:r>
      <w:r>
        <w:rPr>
          <w:rFonts w:hint="eastAsia" w:ascii="宋体" w:hAnsi="宋体" w:eastAsia="宋体" w:cs="宋体"/>
          <w:sz w:val="24"/>
        </w:rPr>
      </w:r>
      <w:r>
        <w:rPr>
          <w:rFonts w:hint="eastAsia" w:ascii="宋体" w:hAnsi="宋体" w:eastAsia="宋体" w:cs="宋体"/>
          <w:sz w:val="24"/>
        </w:rPr>
      </w:r>
    </w:p>
    <w:p>
      <w:pPr>
        <w:pBdr/>
        <w:spacing w:after="120" w:before="120"/>
        <w:ind w:firstLine="48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206375</wp:posOffset>
                </wp:positionH>
                <wp:positionV relativeFrom="paragraph">
                  <wp:posOffset>685800</wp:posOffset>
                </wp:positionV>
                <wp:extent cx="4795285" cy="3600000"/>
                <wp:effectExtent l="0" t="0" r="5715" b="635"/>
                <wp:wrapTopAndBottom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795285" cy="3600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59264;o:allowoverlap:true;o:allowincell:true;mso-position-horizontal-relative:margin;margin-left:16.25pt;mso-position-horizontal:absolute;mso-position-vertical-relative:text;margin-top:54.00pt;mso-position-vertical:absolute;width:377.58pt;height:283.46pt;mso-wrap-distance-left:9.00pt;mso-wrap-distance-top:0.00pt;mso-wrap-distance-right:9.00pt;mso-wrap-distance-bottom:0.00pt;z-index:1;" stroked="false">
                <w10:wrap type="topAndBottom"/>
                <v:imagedata r:id="rId10" o:title=""/>
                <o:lock v:ext="edit" rotation="t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</w:rPr>
        <w:t xml:space="preserve">不同材料供货量的时间分布。</w:t>
      </w:r>
      <w:bookmarkStart w:id="1" w:name="OLE_LINK1"/>
      <w:r>
        <w:rPr>
          <w:rFonts w:hint="eastAsia" w:ascii="宋体" w:hAnsi="宋体" w:eastAsia="宋体" w:cs="宋体"/>
          <w:sz w:val="24"/>
        </w:rPr>
        <w:t xml:space="preserve">A类材料供货量与C类材料供货量周期都在60-80周范围内且最值有较大波动，而B</w:t>
      </w:r>
      <w:r>
        <w:rPr>
          <w:rFonts w:hint="eastAsia" w:ascii="宋体" w:hAnsi="宋体" w:eastAsia="宋体" w:cs="宋体"/>
          <w:sz w:val="24"/>
        </w:rPr>
        <w:t xml:space="preserve">类材料供货量</w:t>
      </w:r>
      <w:r>
        <w:rPr>
          <w:rFonts w:hint="eastAsia" w:ascii="宋体" w:hAnsi="宋体" w:eastAsia="宋体" w:cs="宋体"/>
          <w:sz w:val="24"/>
        </w:rPr>
        <w:t xml:space="preserve">约20周/周期，季节性明显。</w:t>
      </w:r>
      <w:bookmarkEnd w:id="1"/>
      <w:r>
        <w:rPr>
          <w:rFonts w:hint="eastAsia" w:ascii="宋体" w:hAnsi="宋体" w:eastAsia="宋体" w:cs="宋体"/>
          <w:sz w:val="24"/>
        </w:rPr>
      </w:r>
      <w:r>
        <w:rPr>
          <w:rFonts w:hint="eastAsia" w:ascii="宋体" w:hAnsi="宋体" w:eastAsia="宋体" w:cs="宋体"/>
          <w:sz w:val="24"/>
        </w:rPr>
      </w:r>
    </w:p>
    <w:p>
      <w:pPr>
        <w:pBdr/>
        <w:spacing w:after="120" w:before="120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对于三种材料供货量的描述性统计</w:t>
      </w:r>
      <w:r>
        <w:rPr>
          <w:rFonts w:ascii="宋体" w:hAnsi="宋体" w:eastAsia="宋体" w:cs="宋体"/>
          <w:sz w:val="24"/>
        </w:rPr>
      </w:r>
      <w:r>
        <w:rPr>
          <w:rFonts w:ascii="宋体" w:hAnsi="宋体" w:eastAsia="宋体" w:cs="宋体"/>
          <w:sz w:val="24"/>
        </w:rPr>
      </w:r>
    </w:p>
    <w:p>
      <w:pPr>
        <w:pBdr/>
        <w:spacing w:after="120" w:before="120"/>
        <w:ind w:firstLine="48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388620</wp:posOffset>
                </wp:positionV>
                <wp:extent cx="6486353" cy="1080000"/>
                <wp:effectExtent l="0" t="0" r="0" b="6350"/>
                <wp:wrapTopAndBottom/>
                <wp:docPr id="3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486353" cy="1080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51661312;o:allowoverlap:true;o:allowincell:true;mso-position-horizontal-relative:margin;mso-position-horizontal:center;mso-position-vertical-relative:text;margin-top:30.60pt;mso-position-vertical:absolute;width:510.74pt;height:85.04pt;mso-wrap-distance-left:9.00pt;mso-wrap-distance-top:0.00pt;mso-wrap-distance-right:9.00pt;mso-wrap-distance-bottom:0.00pt;z-index:1;" stroked="false">
                <w10:wrap type="topAndBottom"/>
                <v:imagedata r:id="rId11" o:title=""/>
                <o:lock v:ext="edit" rotation="t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</w:rPr>
      </w:r>
      <w:r>
        <w:rPr>
          <w:rFonts w:hint="eastAsia" w:ascii="宋体" w:hAnsi="宋体" w:eastAsia="宋体" w:cs="宋体"/>
          <w:sz w:val="24"/>
        </w:rPr>
      </w:r>
    </w:p>
    <w:p>
      <w:pPr>
        <w:pBdr/>
        <w:spacing w:after="120" w:before="120"/>
        <w:ind/>
        <w:rPr>
          <w:rFonts w:hint="eastAsia" w:ascii="黑体" w:hAnsi="黑体" w:eastAsia="黑体" w:cs="黑体"/>
          <w:sz w:val="24"/>
        </w:rPr>
      </w:pPr>
      <w:r/>
      <w:bookmarkStart w:id="2" w:name="_Hlk207467241"/>
      <w:r>
        <w:rPr>
          <w:rFonts w:hint="eastAsia" w:ascii="黑体" w:hAnsi="黑体" w:eastAsia="黑体" w:cs="黑体"/>
          <w:sz w:val="24"/>
        </w:rPr>
        <w:t xml:space="preserve">6.1.</w:t>
      </w:r>
      <w:r>
        <w:rPr>
          <w:rFonts w:hint="eastAsia" w:ascii="黑体" w:hAnsi="黑体" w:eastAsia="黑体" w:cs="黑体"/>
          <w:sz w:val="24"/>
        </w:rPr>
        <w:t xml:space="preserve">2需求</w:t>
      </w:r>
      <w:r>
        <w:rPr>
          <w:rFonts w:hint="eastAsia" w:ascii="黑体" w:hAnsi="黑体" w:eastAsia="黑体" w:cs="黑体"/>
          <w:sz w:val="24"/>
        </w:rPr>
        <w:t xml:space="preserve">侧</w:t>
      </w:r>
      <w:r>
        <w:rPr>
          <w:rFonts w:hint="eastAsia" w:ascii="黑体" w:hAnsi="黑体" w:eastAsia="黑体" w:cs="黑体"/>
          <w:sz w:val="24"/>
        </w:rPr>
        <w:t xml:space="preserve">观察</w:t>
      </w:r>
      <w:bookmarkEnd w:id="2"/>
      <w:r>
        <w:rPr>
          <w:rFonts w:hint="eastAsia" w:ascii="黑体" w:hAnsi="黑体" w:eastAsia="黑体" w:cs="黑体"/>
          <w:sz w:val="24"/>
        </w:rPr>
      </w:r>
      <w:r>
        <w:rPr>
          <w:rFonts w:hint="eastAsia" w:ascii="黑体" w:hAnsi="黑体" w:eastAsia="黑体" w:cs="黑体"/>
          <w:sz w:val="24"/>
        </w:rPr>
      </w:r>
    </w:p>
    <w:p>
      <w:pPr>
        <w:pBdr/>
        <w:spacing w:after="120" w:before="120"/>
        <w:ind w:firstLine="48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先看</w:t>
      </w:r>
      <w:r>
        <w:rPr>
          <w:rFonts w:hint="eastAsia" w:ascii="宋体" w:hAnsi="宋体" w:eastAsia="宋体" w:cs="宋体"/>
          <w:sz w:val="24"/>
        </w:rPr>
        <w:t xml:space="preserve">不同材料</w:t>
      </w:r>
      <w:r>
        <w:rPr>
          <w:rFonts w:hint="eastAsia" w:ascii="宋体" w:hAnsi="宋体" w:eastAsia="宋体" w:cs="宋体"/>
          <w:sz w:val="24"/>
        </w:rPr>
        <w:t xml:space="preserve">订货量</w:t>
      </w:r>
      <w:r>
        <w:rPr>
          <w:rFonts w:hint="eastAsia" w:ascii="宋体" w:hAnsi="宋体" w:eastAsia="宋体" w:cs="宋体"/>
          <w:sz w:val="24"/>
        </w:rPr>
        <w:t xml:space="preserve">的频率统计。</w:t>
      </w:r>
      <w:r>
        <w:rPr>
          <w:rFonts w:hint="eastAsia" w:ascii="宋体" w:hAnsi="宋体" w:eastAsia="宋体" w:cs="宋体"/>
          <w:sz w:val="24"/>
        </w:rPr>
        <w:t xml:space="preserve">A类材料供货量与C类材料供货量周期都在60-80周范围内且最值有较大波动，而B类材料供货量约20周/周期，季节性明显</w:t>
      </w:r>
      <w:r>
        <w:rPr>
          <w:rFonts w:hint="eastAsia" w:ascii="宋体" w:hAnsi="宋体" w:eastAsia="宋体" w:cs="宋体"/>
          <w:sz w:val="24"/>
        </w:rPr>
        <w:t xml:space="preserve">,且与供货量周期相近</w:t>
      </w:r>
      <w:r>
        <w:rPr>
          <w:rFonts w:hint="eastAsia" w:ascii="宋体" w:hAnsi="宋体" w:eastAsia="宋体" w:cs="宋体"/>
          <w:sz w:val="24"/>
        </w:rPr>
        <w:t xml:space="preserve">。</w:t>
      </w:r>
      <w:r>
        <w:rPr>
          <w:rFonts w:hint="eastAsia" w:ascii="宋体" w:hAnsi="宋体" w:eastAsia="宋体" w:cs="宋体"/>
          <w:sz w:val="24"/>
        </w:rPr>
        <w:t xml:space="preserve">这些说明，B类材料相对处于供需平衡的境地，而其他两类材料则可能面临着周期性的供不应求的问题。</w:t>
      </w:r>
      <w:r>
        <w:rPr>
          <w:rFonts w:hint="eastAsia" w:ascii="宋体" w:hAnsi="宋体" w:eastAsia="宋体" w:cs="宋体"/>
          <w:sz w:val="24"/>
        </w:rPr>
      </w:r>
      <w:r>
        <w:rPr>
          <w:rFonts w:hint="eastAsia" w:ascii="宋体" w:hAnsi="宋体" w:eastAsia="宋体" w:cs="宋体"/>
          <w:sz w:val="24"/>
        </w:rPr>
      </w:r>
    </w:p>
    <w:p>
      <w:pPr>
        <w:pBdr/>
        <w:spacing w:after="120" w:before="120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295275</wp:posOffset>
                </wp:positionV>
                <wp:extent cx="4795385" cy="3600000"/>
                <wp:effectExtent l="0" t="0" r="5715" b="635"/>
                <wp:wrapTopAndBottom/>
                <wp:docPr id="4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795385" cy="3600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251658240;o:allowoverlap:true;o:allowincell:true;mso-position-horizontal-relative:text;margin-left:13.20pt;mso-position-horizontal:absolute;mso-position-vertical-relative:text;margin-top:23.25pt;mso-position-vertical:absolute;width:377.59pt;height:283.46pt;mso-wrap-distance-left:9.00pt;mso-wrap-distance-top:0.00pt;mso-wrap-distance-right:9.00pt;mso-wrap-distance-bottom:0.00pt;z-index:1;" stroked="false">
                <w10:wrap type="topAndBottom"/>
                <v:imagedata r:id="rId12" o:title=""/>
                <o:lock v:ext="edit" rotation="t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</w:rPr>
        <w:t xml:space="preserve">不同材料订货量的时间分布</w:t>
      </w:r>
      <w:r>
        <w:rPr>
          <w:rFonts w:ascii="宋体" w:hAnsi="宋体" w:eastAsia="宋体" w:cs="宋体"/>
          <w:sz w:val="24"/>
        </w:rPr>
      </w:r>
      <w:r>
        <w:rPr>
          <w:rFonts w:ascii="宋体" w:hAnsi="宋体" w:eastAsia="宋体" w:cs="宋体"/>
          <w:sz w:val="24"/>
        </w:rPr>
      </w:r>
    </w:p>
    <w:p>
      <w:pPr>
        <w:pBdr/>
        <w:spacing w:after="120" w:before="120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3966210</wp:posOffset>
                </wp:positionV>
                <wp:extent cx="6486353" cy="1080000"/>
                <wp:effectExtent l="0" t="0" r="0" b="6350"/>
                <wp:wrapTopAndBottom/>
                <wp:docPr id="5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486353" cy="1080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251662336;o:allowoverlap:true;o:allowincell:true;mso-position-horizontal-relative:margin;mso-position-horizontal:center;mso-position-vertical-relative:text;margin-top:312.30pt;mso-position-vertical:absolute;width:510.74pt;height:85.04pt;mso-wrap-distance-left:9.00pt;mso-wrap-distance-top:0.00pt;mso-wrap-distance-right:9.00pt;mso-wrap-distance-bottom:0.00pt;z-index:1;" stroked="false">
                <w10:wrap type="topAndBottom"/>
                <v:imagedata r:id="rId13" o:title=""/>
                <o:lock v:ext="edit" rotation="t"/>
              </v:shape>
            </w:pict>
          </mc:Fallback>
        </mc:AlternateContent>
      </w:r>
      <w:bookmarkStart w:id="3" w:name="_Hlk207367612"/>
      <w:r>
        <w:rPr>
          <w:rFonts w:hint="eastAsia" w:ascii="宋体" w:hAnsi="宋体" w:eastAsia="宋体" w:cs="宋体"/>
          <w:sz w:val="24"/>
        </w:rPr>
        <w:t xml:space="preserve">对于三种</w:t>
      </w:r>
      <w:bookmarkEnd w:id="3"/>
      <w:r>
        <w:rPr>
          <w:rFonts w:hint="eastAsia" w:ascii="宋体" w:hAnsi="宋体" w:eastAsia="宋体" w:cs="宋体"/>
          <w:sz w:val="24"/>
        </w:rPr>
        <w:t xml:space="preserve">材料</w:t>
      </w:r>
      <w:r>
        <w:rPr>
          <w:rFonts w:hint="eastAsia" w:ascii="宋体" w:hAnsi="宋体" w:eastAsia="宋体" w:cs="宋体"/>
          <w:sz w:val="24"/>
        </w:rPr>
        <w:t xml:space="preserve">订货</w:t>
      </w:r>
      <w:r>
        <w:rPr>
          <w:rFonts w:hint="eastAsia" w:ascii="宋体" w:hAnsi="宋体" w:eastAsia="宋体" w:cs="宋体"/>
          <w:sz w:val="24"/>
        </w:rPr>
        <w:t xml:space="preserve">量的描述性统计</w:t>
      </w:r>
      <w:r>
        <w:rPr>
          <w:rFonts w:ascii="宋体" w:hAnsi="宋体" w:eastAsia="宋体" w:cs="宋体"/>
          <w:sz w:val="24"/>
        </w:rPr>
      </w:r>
      <w:r>
        <w:rPr>
          <w:rFonts w:ascii="宋体" w:hAnsi="宋体" w:eastAsia="宋体" w:cs="宋体"/>
          <w:sz w:val="24"/>
        </w:rPr>
      </w:r>
    </w:p>
    <w:p>
      <w:pPr>
        <w:pBdr/>
        <w:spacing w:after="120" w:before="120"/>
        <w:ind w:firstLine="480"/>
        <w:rPr>
          <w:rFonts w:ascii="宋体" w:hAnsi="宋体" w:eastAsia="宋体" w:cs="宋体"/>
          <w:sz w:val="24"/>
        </w:rPr>
      </w:pPr>
      <w:r/>
      <w:bookmarkStart w:id="4" w:name="OLE_LINK4"/>
      <w:r>
        <w:rPr>
          <w:rFonts w:hint="eastAsia" w:ascii="宋体" w:hAnsi="宋体" w:eastAsia="宋体" w:cs="宋体"/>
          <w:sz w:val="24"/>
        </w:rPr>
        <w:t xml:space="preserve">有效周分布如下图</w:t>
      </w:r>
      <w:bookmarkEnd w:id="4"/>
      <w:r>
        <w:rPr>
          <w:rFonts w:hint="eastAsia" w:ascii="宋体" w:hAnsi="宋体" w:eastAsia="宋体" w:cs="宋体"/>
          <w:sz w:val="24"/>
        </w:rPr>
        <w:t xml:space="preserve">所示。也可以见得，季节性相当之明显。</w:t>
      </w:r>
      <w:r>
        <w:rPr>
          <w:rFonts w:ascii="宋体" w:hAnsi="宋体" w:eastAsia="宋体" w:cs="宋体"/>
          <w:sz w:val="24"/>
        </w:rPr>
      </w:r>
      <w:r>
        <w:rPr>
          <w:rFonts w:ascii="宋体" w:hAnsi="宋体" w:eastAsia="宋体" w:cs="宋体"/>
          <w:sz w:val="24"/>
        </w:rPr>
      </w:r>
    </w:p>
    <w:p>
      <w:pPr>
        <w:pBdr/>
        <w:spacing w:after="120" w:before="120"/>
        <w:ind w:firstLine="420"/>
        <w:rPr>
          <w:rFonts w:ascii="宋体" w:hAnsi="宋体" w:eastAsia="宋体" w:cs="宋体"/>
          <w:sz w:val="24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3954145"/>
                <wp:effectExtent l="0" t="0" r="2540" b="8255"/>
                <wp:docPr id="6" name="图片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274310" cy="395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15.30pt;height:311.35pt;mso-wrap-distance-left:0.00pt;mso-wrap-distance-top:0.00pt;mso-wrap-distance-right:0.00pt;mso-wrap-distance-bottom:0.00pt;z-index:1;" stroked="f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宋体" w:hAnsi="宋体" w:eastAsia="宋体" w:cs="宋体"/>
          <w:sz w:val="24"/>
        </w:rPr>
      </w:r>
      <w:r>
        <w:rPr>
          <w:rFonts w:ascii="宋体" w:hAnsi="宋体" w:eastAsia="宋体" w:cs="宋体"/>
          <w:sz w:val="24"/>
        </w:rPr>
      </w:r>
    </w:p>
    <w:p>
      <w:pPr>
        <w:pBdr/>
        <w:spacing w:after="120" w:before="120"/>
        <w:ind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 xml:space="preserve">6.1.</w:t>
      </w:r>
      <w:r>
        <w:rPr>
          <w:rFonts w:hint="eastAsia" w:ascii="黑体" w:hAnsi="黑体" w:eastAsia="黑体" w:cs="黑体"/>
          <w:sz w:val="24"/>
        </w:rPr>
        <w:t xml:space="preserve">3</w:t>
      </w:r>
      <w:r>
        <w:rPr>
          <w:rFonts w:hint="eastAsia" w:ascii="黑体" w:hAnsi="黑体" w:eastAsia="黑体" w:cs="黑体"/>
          <w:sz w:val="24"/>
        </w:rPr>
        <w:t xml:space="preserve">转运商相关</w:t>
      </w:r>
      <w:r>
        <w:rPr>
          <w:rFonts w:hint="eastAsia" w:ascii="黑体" w:hAnsi="黑体" w:eastAsia="黑体" w:cs="黑体"/>
          <w:sz w:val="24"/>
        </w:rPr>
        <w:t xml:space="preserve">数据</w:t>
      </w:r>
      <w:r>
        <w:rPr>
          <w:rFonts w:hint="eastAsia" w:ascii="黑体" w:hAnsi="黑体" w:eastAsia="黑体" w:cs="黑体"/>
          <w:sz w:val="24"/>
        </w:rPr>
      </w:r>
      <w:r>
        <w:rPr>
          <w:rFonts w:hint="eastAsia" w:ascii="黑体" w:hAnsi="黑体" w:eastAsia="黑体" w:cs="黑体"/>
          <w:sz w:val="24"/>
        </w:rPr>
      </w:r>
    </w:p>
    <w:p>
      <w:pPr>
        <w:pBdr/>
        <w:spacing w:after="120" w:before="120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对</w:t>
      </w:r>
      <w:r>
        <w:rPr>
          <w:rFonts w:hint="eastAsia" w:ascii="宋体" w:hAnsi="宋体" w:eastAsia="宋体" w:cs="宋体"/>
          <w:sz w:val="24"/>
        </w:rPr>
        <w:t xml:space="preserve">转各个运商</w:t>
      </w:r>
      <w:r>
        <w:rPr>
          <w:rFonts w:hint="eastAsia" w:ascii="宋体" w:hAnsi="宋体" w:eastAsia="宋体" w:cs="宋体"/>
          <w:sz w:val="24"/>
        </w:rPr>
        <w:t xml:space="preserve">近240周损耗率数据进行统计性描述。</w:t>
      </w:r>
      <w:r>
        <w:rPr>
          <w:rFonts w:ascii="宋体" w:hAnsi="宋体" w:eastAsia="宋体" w:cs="宋体"/>
          <w:sz w:val="24"/>
        </w:rPr>
      </w:r>
      <w:r>
        <w:rPr>
          <w:rFonts w:ascii="宋体" w:hAnsi="宋体" w:eastAsia="宋体" w:cs="宋体"/>
          <w:sz w:val="24"/>
        </w:rPr>
      </w:r>
    </w:p>
    <w:p>
      <w:pPr>
        <w:pBdr/>
        <w:spacing w:after="120" w:before="120"/>
        <w:ind w:firstLine="48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</w:r>
      <w:r>
        <w:rPr>
          <w:rFonts w:hint="eastAsia" w:ascii="宋体" w:hAnsi="宋体" w:eastAsia="宋体" w:cs="宋体"/>
          <w:sz w:val="24"/>
        </w:rPr>
      </w:r>
      <w:r>
        <w:rPr>
          <w:rFonts w:hint="eastAsia" w:ascii="宋体" w:hAnsi="宋体" w:eastAsia="宋体" w:cs="宋体"/>
          <w:sz w:val="24"/>
        </w:rPr>
      </w:r>
    </w:p>
    <w:p>
      <w:pPr>
        <w:pBdr/>
        <w:spacing w:after="120" w:before="120"/>
        <w:ind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 xml:space="preserve">6.</w:t>
      </w:r>
      <w:r>
        <w:rPr>
          <w:rFonts w:hint="eastAsia" w:ascii="黑体" w:hAnsi="黑体" w:eastAsia="黑体" w:cs="黑体"/>
          <w:sz w:val="24"/>
        </w:rPr>
        <w:t xml:space="preserve">2问题</w:t>
      </w:r>
      <w:r>
        <w:rPr>
          <w:rFonts w:hint="eastAsia" w:ascii="黑体" w:hAnsi="黑体" w:eastAsia="黑体" w:cs="黑体"/>
          <w:sz w:val="24"/>
        </w:rPr>
        <w:t xml:space="preserve">一</w:t>
      </w:r>
      <w:r>
        <w:rPr>
          <w:rFonts w:hint="eastAsia" w:ascii="黑体" w:hAnsi="黑体" w:eastAsia="黑体" w:cs="黑体"/>
          <w:sz w:val="24"/>
        </w:rPr>
        <w:t xml:space="preserve">模型的建立</w:t>
      </w:r>
      <w:r>
        <w:rPr>
          <w:rFonts w:ascii="黑体" w:hAnsi="黑体" w:eastAsia="黑体" w:cs="黑体"/>
          <w:sz w:val="24"/>
        </w:rPr>
      </w:r>
      <w:r>
        <w:rPr>
          <w:rFonts w:ascii="黑体" w:hAnsi="黑体" w:eastAsia="黑体" w:cs="黑体"/>
          <w:sz w:val="24"/>
        </w:rPr>
      </w:r>
    </w:p>
    <w:p>
      <w:pPr>
        <w:pBdr/>
        <w:spacing w:after="120" w:before="120"/>
        <w:ind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 xml:space="preserve">6.</w:t>
      </w:r>
      <w:r>
        <w:rPr>
          <w:rFonts w:hint="eastAsia" w:ascii="黑体" w:hAnsi="黑体" w:eastAsia="黑体" w:cs="黑体"/>
          <w:sz w:val="24"/>
        </w:rPr>
        <w:t xml:space="preserve">2</w:t>
      </w:r>
      <w:r>
        <w:rPr>
          <w:rFonts w:hint="eastAsia" w:ascii="黑体" w:hAnsi="黑体" w:eastAsia="黑体" w:cs="黑体"/>
          <w:sz w:val="24"/>
        </w:rPr>
        <w:t xml:space="preserve">.1</w:t>
      </w:r>
      <w:r>
        <w:rPr>
          <w:rFonts w:hint="eastAsia" w:ascii="黑体" w:hAnsi="黑体" w:eastAsia="黑体" w:cs="黑体"/>
          <w:sz w:val="24"/>
        </w:rPr>
        <w:t xml:space="preserve">确定评价指标</w:t>
      </w:r>
      <w:r>
        <w:rPr>
          <w:rFonts w:ascii="黑体" w:hAnsi="黑体" w:eastAsia="黑体" w:cs="黑体"/>
          <w:sz w:val="24"/>
        </w:rPr>
      </w:r>
      <w:r>
        <w:rPr>
          <w:rFonts w:ascii="黑体" w:hAnsi="黑体" w:eastAsia="黑体" w:cs="黑体"/>
          <w:sz w:val="24"/>
        </w:rPr>
      </w:r>
    </w:p>
    <w:p>
      <w:pPr>
        <w:pBdr/>
        <w:spacing w:after="120" w:before="120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六项指标</w:t>
      </w:r>
      <w:r>
        <w:rPr>
          <w:rFonts w:ascii="宋体" w:hAnsi="宋体" w:eastAsia="宋体" w:cs="宋体"/>
          <w:sz w:val="24"/>
        </w:rPr>
      </w:r>
      <w:r>
        <w:rPr>
          <w:rFonts w:ascii="宋体" w:hAnsi="宋体" w:eastAsia="宋体" w:cs="宋体"/>
          <w:sz w:val="24"/>
        </w:rPr>
      </w:r>
    </w:p>
    <w:tbl>
      <w:tblPr>
        <w:tblW w:w="0" w:type="auto"/>
        <w:tblCellMar>
          <w:left w:w="0" w:type="dxa"/>
          <w:right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shd w:val="clear" w:color="auto" w:fill="ffffff"/>
        <w:tblLook w:val="04A0" w:firstRow="1" w:lastRow="0" w:firstColumn="1" w:lastColumn="0" w:noHBand="0" w:noVBand="1"/>
      </w:tblPr>
      <w:tblGrid>
        <w:gridCol w:w="1028"/>
        <w:gridCol w:w="1068"/>
        <w:gridCol w:w="2868"/>
        <w:gridCol w:w="3342"/>
      </w:tblGrid>
      <w:tr>
        <w:trPr>
          <w:trHeight w:val="784"/>
          <w:tblHeader/>
        </w:trPr>
        <w:tc>
          <w:tcPr>
            <w:shd w:val="clear" w:color="auto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auto" w:sz="4" w:space="0"/>
            </w:tcBorders>
            <w:tcMar>
              <w:left w:w="270" w:type="dxa"/>
              <w:top w:w="180" w:type="dxa"/>
              <w:right w:w="270" w:type="dxa"/>
              <w:bottom w:w="180" w:type="dxa"/>
            </w:tcMar>
            <w:tcW w:w="0" w:type="auto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420" w:lineRule="atLeast"/>
              <w:ind/>
              <w:jc w:val="center"/>
              <w:rPr>
                <w:rFonts w:ascii="Segoe UI" w:hAnsi="Segoe UI" w:eastAsia="宋体" w:cs="Segoe UI"/>
                <w:b/>
                <w:bCs/>
                <w:color w:val="000000"/>
                <w:sz w:val="24"/>
              </w:rPr>
            </w:pPr>
            <w:r>
              <w:rPr>
                <w:rFonts w:ascii="Segoe UI" w:hAnsi="Segoe UI" w:eastAsia="宋体" w:cs="Segoe UI"/>
                <w:b/>
                <w:bCs/>
                <w:color w:val="000000"/>
                <w:sz w:val="24"/>
              </w:rPr>
              <w:t xml:space="preserve">特征维度</w:t>
            </w:r>
            <w:r>
              <w:rPr>
                <w:rFonts w:ascii="Segoe UI" w:hAnsi="Segoe UI" w:eastAsia="宋体" w:cs="Segoe UI"/>
                <w:b/>
                <w:bCs/>
                <w:color w:val="000000"/>
                <w:sz w:val="24"/>
              </w:rPr>
            </w:r>
            <w:r>
              <w:rPr>
                <w:rFonts w:ascii="Segoe UI" w:hAnsi="Segoe UI" w:eastAsia="宋体" w:cs="Segoe UI"/>
                <w:b/>
                <w:bCs/>
                <w:color w:val="000000"/>
                <w:sz w:val="24"/>
              </w:rPr>
            </w:r>
          </w:p>
        </w:tc>
        <w:tc>
          <w:tcPr>
            <w:shd w:val="clear" w:color="auto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auto" w:sz="4" w:space="0"/>
            </w:tcBorders>
            <w:tcMar>
              <w:left w:w="270" w:type="dxa"/>
              <w:top w:w="180" w:type="dxa"/>
              <w:right w:w="270" w:type="dxa"/>
              <w:bottom w:w="180" w:type="dxa"/>
            </w:tcMar>
            <w:tcW w:w="0" w:type="auto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420" w:lineRule="atLeast"/>
              <w:ind/>
              <w:jc w:val="center"/>
              <w:rPr>
                <w:rFonts w:ascii="Segoe UI" w:hAnsi="Segoe UI" w:eastAsia="宋体" w:cs="Segoe UI"/>
                <w:b/>
                <w:bCs/>
                <w:color w:val="000000"/>
                <w:sz w:val="24"/>
              </w:rPr>
            </w:pPr>
            <w:r>
              <w:rPr>
                <w:rFonts w:ascii="Segoe UI" w:hAnsi="Segoe UI" w:eastAsia="宋体" w:cs="Segoe UI"/>
                <w:b/>
                <w:bCs/>
                <w:color w:val="000000"/>
                <w:sz w:val="24"/>
              </w:rPr>
              <w:t xml:space="preserve">指标名称</w:t>
            </w:r>
            <w:r>
              <w:rPr>
                <w:rFonts w:ascii="Segoe UI" w:hAnsi="Segoe UI" w:eastAsia="宋体" w:cs="Segoe UI"/>
                <w:b/>
                <w:bCs/>
                <w:color w:val="000000"/>
                <w:sz w:val="24"/>
              </w:rPr>
            </w:r>
            <w:r>
              <w:rPr>
                <w:rFonts w:ascii="Segoe UI" w:hAnsi="Segoe UI" w:eastAsia="宋体" w:cs="Segoe UI"/>
                <w:b/>
                <w:bCs/>
                <w:color w:val="000000"/>
                <w:sz w:val="24"/>
              </w:rPr>
            </w:r>
          </w:p>
        </w:tc>
        <w:tc>
          <w:tcPr>
            <w:shd w:val="clear" w:color="auto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auto" w:sz="4" w:space="0"/>
            </w:tcBorders>
            <w:tcMar>
              <w:left w:w="270" w:type="dxa"/>
              <w:top w:w="180" w:type="dxa"/>
              <w:right w:w="270" w:type="dxa"/>
              <w:bottom w:w="180" w:type="dxa"/>
            </w:tcMar>
            <w:tcW w:w="0" w:type="auto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420" w:lineRule="atLeast"/>
              <w:ind/>
              <w:jc w:val="center"/>
              <w:rPr>
                <w:rFonts w:ascii="Segoe UI" w:hAnsi="Segoe UI" w:eastAsia="宋体" w:cs="Segoe UI"/>
                <w:b/>
                <w:bCs/>
                <w:color w:val="000000"/>
                <w:sz w:val="24"/>
              </w:rPr>
            </w:pPr>
            <w:r>
              <w:rPr>
                <w:rFonts w:ascii="Segoe UI" w:hAnsi="Segoe UI" w:eastAsia="宋体" w:cs="Segoe UI"/>
                <w:b/>
                <w:bCs/>
                <w:color w:val="000000"/>
                <w:sz w:val="24"/>
              </w:rPr>
              <w:t xml:space="preserve">计算公式</w:t>
            </w:r>
            <w:r>
              <w:rPr>
                <w:rFonts w:ascii="Segoe UI" w:hAnsi="Segoe UI" w:eastAsia="宋体" w:cs="Segoe UI"/>
                <w:b/>
                <w:bCs/>
                <w:color w:val="000000"/>
                <w:sz w:val="24"/>
              </w:rPr>
            </w:r>
            <w:r>
              <w:rPr>
                <w:rFonts w:ascii="Segoe UI" w:hAnsi="Segoe UI" w:eastAsia="宋体" w:cs="Segoe UI"/>
                <w:b/>
                <w:bCs/>
                <w:color w:val="000000"/>
                <w:sz w:val="24"/>
              </w:rPr>
            </w:r>
          </w:p>
        </w:tc>
        <w:tc>
          <w:tcPr>
            <w:shd w:val="clear" w:color="auto" w:fill="f2f2f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70" w:type="dxa"/>
              <w:top w:w="180" w:type="dxa"/>
              <w:right w:w="270" w:type="dxa"/>
              <w:bottom w:w="180" w:type="dxa"/>
            </w:tcMar>
            <w:tcW w:w="0" w:type="auto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420" w:lineRule="atLeast"/>
              <w:ind/>
              <w:jc w:val="center"/>
              <w:rPr>
                <w:rFonts w:ascii="Segoe UI" w:hAnsi="Segoe UI" w:eastAsia="宋体" w:cs="Segoe UI"/>
                <w:b/>
                <w:bCs/>
                <w:color w:val="000000"/>
                <w:sz w:val="24"/>
              </w:rPr>
            </w:pPr>
            <w:r>
              <w:rPr>
                <w:rFonts w:ascii="Segoe UI" w:hAnsi="Segoe UI" w:eastAsia="宋体" w:cs="Segoe UI"/>
                <w:b/>
                <w:bCs/>
                <w:color w:val="000000"/>
                <w:sz w:val="24"/>
              </w:rPr>
              <w:t xml:space="preserve">指标意义（服务</w:t>
            </w:r>
            <w:r>
              <w:rPr>
                <w:rFonts w:ascii="Segoe UI" w:hAnsi="Segoe UI" w:eastAsia="宋体" w:cs="Segoe UI"/>
                <w:b/>
                <w:bCs/>
                <w:color w:val="000000"/>
                <w:sz w:val="24"/>
              </w:rPr>
              <w:t xml:space="preserve"> “</w:t>
            </w:r>
            <w:r>
              <w:rPr>
                <w:rFonts w:ascii="Segoe UI" w:hAnsi="Segoe UI" w:eastAsia="宋体" w:cs="Segoe UI"/>
                <w:b/>
                <w:bCs/>
                <w:color w:val="000000"/>
                <w:sz w:val="24"/>
              </w:rPr>
              <w:t xml:space="preserve">保障生产</w:t>
            </w:r>
            <w:r>
              <w:rPr>
                <w:rFonts w:ascii="Segoe UI" w:hAnsi="Segoe UI" w:eastAsia="宋体" w:cs="Segoe UI"/>
                <w:b/>
                <w:bCs/>
                <w:color w:val="000000"/>
                <w:sz w:val="24"/>
              </w:rPr>
              <w:t xml:space="preserve">” </w:t>
            </w:r>
            <w:r>
              <w:rPr>
                <w:rFonts w:ascii="Segoe UI" w:hAnsi="Segoe UI" w:eastAsia="宋体" w:cs="Segoe UI"/>
                <w:b/>
                <w:bCs/>
                <w:color w:val="000000"/>
                <w:sz w:val="24"/>
              </w:rPr>
              <w:t xml:space="preserve">目标）</w:t>
            </w:r>
            <w:r>
              <w:rPr>
                <w:rFonts w:ascii="Segoe UI" w:hAnsi="Segoe UI" w:eastAsia="宋体" w:cs="Segoe UI"/>
                <w:b/>
                <w:bCs/>
                <w:color w:val="000000"/>
                <w:sz w:val="24"/>
              </w:rPr>
            </w:r>
            <w:r>
              <w:rPr>
                <w:rFonts w:ascii="Segoe UI" w:hAnsi="Segoe UI" w:eastAsia="宋体" w:cs="Segoe UI"/>
                <w:b/>
                <w:bCs/>
                <w:color w:val="000000"/>
                <w:sz w:val="24"/>
              </w:rPr>
            </w:r>
          </w:p>
        </w:tc>
      </w:tr>
      <w:tr>
        <w:trPr/>
        <w:tc>
          <w:tcPr>
            <w:shd w:val="clear" w:color="auto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auto" w:sz="4" w:space="0"/>
            </w:tcBorders>
            <w:tcMar>
              <w:left w:w="270" w:type="dxa"/>
              <w:top w:w="180" w:type="dxa"/>
              <w:right w:w="270" w:type="dxa"/>
              <w:bottom w:w="180" w:type="dxa"/>
            </w:tcMar>
            <w:tcW w:w="0" w:type="auto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420" w:lineRule="atLeast"/>
              <w:ind/>
              <w:jc w:val="left"/>
              <w:rPr>
                <w:rFonts w:ascii="Segoe UI" w:hAnsi="Segoe UI" w:eastAsia="宋体" w:cs="Segoe UI"/>
                <w:color w:val="000000"/>
                <w:sz w:val="24"/>
              </w:rPr>
            </w:pP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供需匹配度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</w:r>
            <w:r>
              <w:rPr>
                <w:rFonts w:ascii="Segoe UI" w:hAnsi="Segoe UI" w:eastAsia="宋体" w:cs="Segoe UI"/>
                <w:color w:val="000000"/>
                <w:sz w:val="24"/>
              </w:rPr>
            </w:r>
          </w:p>
        </w:tc>
        <w:tc>
          <w:tcPr>
            <w:shd w:val="clear" w:color="auto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auto" w:sz="4" w:space="0"/>
            </w:tcBorders>
            <w:tcMar>
              <w:left w:w="270" w:type="dxa"/>
              <w:top w:w="180" w:type="dxa"/>
              <w:right w:w="270" w:type="dxa"/>
              <w:bottom w:w="180" w:type="dxa"/>
            </w:tcMar>
            <w:tcW w:w="0" w:type="auto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420" w:lineRule="atLeast"/>
              <w:ind/>
              <w:jc w:val="left"/>
              <w:rPr>
                <w:rFonts w:ascii="Segoe UI" w:hAnsi="Segoe UI" w:eastAsia="宋体" w:cs="Segoe UI"/>
                <w:color w:val="000000"/>
                <w:sz w:val="24"/>
              </w:rPr>
            </w:pP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累计供货率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</w:r>
            <w:r>
              <w:rPr>
                <w:rFonts w:ascii="Segoe UI" w:hAnsi="Segoe UI" w:eastAsia="宋体" w:cs="Segoe UI"/>
                <w:color w:val="000000"/>
                <w:sz w:val="24"/>
              </w:rPr>
            </w:r>
          </w:p>
        </w:tc>
        <w:tc>
          <w:tcPr>
            <w:shd w:val="clear" w:color="auto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auto" w:sz="4" w:space="0"/>
            </w:tcBorders>
            <w:tcMar>
              <w:left w:w="270" w:type="dxa"/>
              <w:top w:w="180" w:type="dxa"/>
              <w:right w:w="270" w:type="dxa"/>
              <w:bottom w:w="180" w:type="dxa"/>
            </w:tcMar>
            <w:tcW w:w="0" w:type="auto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420" w:lineRule="atLeast"/>
              <w:ind/>
              <w:jc w:val="left"/>
              <w:rPr>
                <w:rFonts w:ascii="Segoe UI" w:hAnsi="Segoe UI" w:eastAsia="宋体" w:cs="Segoe UI"/>
                <w:color w:val="000000"/>
                <w:sz w:val="24"/>
              </w:rPr>
            </w:pP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对某供应商，仅计算</w:t>
            </w:r>
            <w:r>
              <w:rPr>
                <w:rFonts w:ascii="Segoe UI" w:hAnsi="Segoe UI" w:eastAsia="宋体" w:cs="Segoe UI"/>
                <w:b/>
                <w:bCs/>
                <w:color w:val="000000"/>
                <w:sz w:val="24"/>
              </w:rPr>
              <w:t xml:space="preserve">有效合作周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（订货量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 &gt; 0 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的周）：</w:t>
            </w:r>
            <w:r>
              <w:rPr>
                <w:rFonts w:ascii="Segoe UI" w:hAnsi="Segoe UI" w:eastAsia="宋体" w:cs="Segoe UI"/>
                <w:color w:val="000000"/>
                <w:sz w:val="3"/>
                <w:szCs w:val="3"/>
              </w:rPr>
              <w:br/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累计供货率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 =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（总供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货量）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/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（总订货量）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×100%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</w:r>
            <w:r>
              <w:rPr>
                <w:rFonts w:ascii="Segoe UI" w:hAnsi="Segoe UI" w:eastAsia="宋体" w:cs="Segoe UI"/>
                <w:color w:val="000000"/>
                <w:sz w:val="24"/>
              </w:rPr>
            </w:r>
          </w:p>
        </w:tc>
        <w:tc>
          <w:tcPr>
            <w:shd w:val="clear" w:color="auto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70" w:type="dxa"/>
              <w:top w:w="180" w:type="dxa"/>
              <w:right w:w="270" w:type="dxa"/>
              <w:bottom w:w="180" w:type="dxa"/>
            </w:tcMar>
            <w:tcW w:w="0" w:type="auto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420" w:lineRule="atLeast"/>
              <w:ind/>
              <w:jc w:val="left"/>
              <w:rPr>
                <w:rFonts w:ascii="Segoe UI" w:hAnsi="Segoe UI" w:eastAsia="宋体" w:cs="Segoe UI"/>
                <w:color w:val="000000"/>
                <w:sz w:val="24"/>
              </w:rPr>
            </w:pP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反映供应商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 “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整体满足企业订货需求的能力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”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，越高越能减少缺货风险，是保障生产的基础。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</w:r>
            <w:r>
              <w:rPr>
                <w:rFonts w:ascii="Segoe UI" w:hAnsi="Segoe UI" w:eastAsia="宋体" w:cs="Segoe UI"/>
                <w:color w:val="000000"/>
                <w:sz w:val="24"/>
              </w:rPr>
            </w:r>
          </w:p>
        </w:tc>
      </w:tr>
      <w:tr>
        <w:trPr/>
        <w:tc>
          <w:tcPr>
            <w:shd w:val="clear" w:color="auto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auto" w:sz="4" w:space="0"/>
            </w:tcBorders>
            <w:tcMar>
              <w:left w:w="270" w:type="dxa"/>
              <w:top w:w="180" w:type="dxa"/>
              <w:right w:w="270" w:type="dxa"/>
              <w:bottom w:w="180" w:type="dxa"/>
            </w:tcMar>
            <w:tcW w:w="0" w:type="auto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420" w:lineRule="atLeast"/>
              <w:ind/>
              <w:jc w:val="left"/>
              <w:rPr>
                <w:rFonts w:ascii="Segoe UI" w:hAnsi="Segoe UI" w:eastAsia="宋体" w:cs="Segoe UI"/>
                <w:color w:val="000000"/>
                <w:sz w:val="24"/>
              </w:rPr>
            </w:pP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供货波动度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</w:r>
            <w:r>
              <w:rPr>
                <w:rFonts w:ascii="Segoe UI" w:hAnsi="Segoe UI" w:eastAsia="宋体" w:cs="Segoe UI"/>
                <w:color w:val="000000"/>
                <w:sz w:val="24"/>
              </w:rPr>
            </w:r>
          </w:p>
        </w:tc>
        <w:tc>
          <w:tcPr>
            <w:shd w:val="clear" w:color="auto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auto" w:sz="4" w:space="0"/>
            </w:tcBorders>
            <w:tcMar>
              <w:left w:w="270" w:type="dxa"/>
              <w:top w:w="180" w:type="dxa"/>
              <w:right w:w="270" w:type="dxa"/>
              <w:bottom w:w="180" w:type="dxa"/>
            </w:tcMar>
            <w:tcW w:w="0" w:type="auto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420" w:lineRule="atLeast"/>
              <w:ind/>
              <w:jc w:val="left"/>
              <w:rPr>
                <w:rFonts w:ascii="Segoe UI" w:hAnsi="Segoe UI" w:eastAsia="宋体" w:cs="Segoe UI"/>
                <w:color w:val="000000"/>
                <w:sz w:val="24"/>
              </w:rPr>
            </w:pP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供货量变异系数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</w:r>
            <w:r>
              <w:rPr>
                <w:rFonts w:ascii="Segoe UI" w:hAnsi="Segoe UI" w:eastAsia="宋体" w:cs="Segoe UI"/>
                <w:color w:val="000000"/>
                <w:sz w:val="24"/>
              </w:rPr>
            </w:r>
          </w:p>
        </w:tc>
        <w:tc>
          <w:tcPr>
            <w:shd w:val="clear" w:color="auto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auto" w:sz="4" w:space="0"/>
            </w:tcBorders>
            <w:tcMar>
              <w:left w:w="270" w:type="dxa"/>
              <w:top w:w="180" w:type="dxa"/>
              <w:right w:w="270" w:type="dxa"/>
              <w:bottom w:w="180" w:type="dxa"/>
            </w:tcMar>
            <w:tcW w:w="0" w:type="auto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420" w:lineRule="atLeast"/>
              <w:ind/>
              <w:jc w:val="left"/>
              <w:rPr>
                <w:rFonts w:ascii="Segoe UI" w:hAnsi="Segoe UI" w:eastAsia="宋体" w:cs="Segoe UI"/>
                <w:color w:val="000000"/>
                <w:sz w:val="24"/>
              </w:rPr>
            </w:pP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仅计算</w:t>
            </w:r>
            <w:r>
              <w:rPr>
                <w:rFonts w:ascii="Segoe UI" w:hAnsi="Segoe UI" w:eastAsia="宋体" w:cs="Segoe UI"/>
                <w:b/>
                <w:bCs/>
                <w:color w:val="000000"/>
                <w:sz w:val="24"/>
              </w:rPr>
              <w:t xml:space="preserve">有效合作周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：</w:t>
            </w:r>
            <w:r>
              <w:rPr>
                <w:rFonts w:ascii="Segoe UI" w:hAnsi="Segoe UI" w:eastAsia="宋体" w:cs="Segoe UI"/>
                <w:color w:val="000000"/>
                <w:sz w:val="3"/>
                <w:szCs w:val="3"/>
              </w:rPr>
              <w:br/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变异系数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 =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（供货量标准差）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/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（供货量均值）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×100%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</w:r>
            <w:r>
              <w:rPr>
                <w:rFonts w:ascii="Segoe UI" w:hAnsi="Segoe UI" w:eastAsia="宋体" w:cs="Segoe UI"/>
                <w:color w:val="000000"/>
                <w:sz w:val="24"/>
              </w:rPr>
            </w:r>
          </w:p>
        </w:tc>
        <w:tc>
          <w:tcPr>
            <w:shd w:val="clear" w:color="auto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70" w:type="dxa"/>
              <w:top w:w="180" w:type="dxa"/>
              <w:right w:w="270" w:type="dxa"/>
              <w:bottom w:w="180" w:type="dxa"/>
            </w:tcMar>
            <w:tcW w:w="0" w:type="auto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420" w:lineRule="atLeast"/>
              <w:ind/>
              <w:jc w:val="left"/>
              <w:rPr>
                <w:rFonts w:ascii="Segoe UI" w:hAnsi="Segoe UI" w:eastAsia="宋体" w:cs="Segoe UI"/>
                <w:color w:val="000000"/>
                <w:sz w:val="24"/>
              </w:rPr>
            </w:pP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消除量纲影响，量化供货量的波动程度，越小说明供货越稳定，企业库存规划越容易（避免库存骤高骤低）。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</w:r>
            <w:r>
              <w:rPr>
                <w:rFonts w:ascii="Segoe UI" w:hAnsi="Segoe UI" w:eastAsia="宋体" w:cs="Segoe UI"/>
                <w:color w:val="000000"/>
                <w:sz w:val="24"/>
              </w:rPr>
            </w:r>
          </w:p>
        </w:tc>
      </w:tr>
      <w:tr>
        <w:trPr/>
        <w:tc>
          <w:tcPr>
            <w:shd w:val="clear" w:color="auto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auto" w:sz="4" w:space="0"/>
            </w:tcBorders>
            <w:tcMar>
              <w:left w:w="270" w:type="dxa"/>
              <w:top w:w="180" w:type="dxa"/>
              <w:right w:w="270" w:type="dxa"/>
              <w:bottom w:w="180" w:type="dxa"/>
            </w:tcMar>
            <w:tcW w:w="0" w:type="auto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420" w:lineRule="atLeast"/>
              <w:ind/>
              <w:jc w:val="left"/>
              <w:rPr>
                <w:rFonts w:ascii="Segoe UI" w:hAnsi="Segoe UI" w:eastAsia="宋体" w:cs="Segoe UI"/>
                <w:color w:val="000000"/>
                <w:sz w:val="24"/>
              </w:rPr>
            </w:pP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履约意愿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</w:r>
            <w:r>
              <w:rPr>
                <w:rFonts w:ascii="Segoe UI" w:hAnsi="Segoe UI" w:eastAsia="宋体" w:cs="Segoe UI"/>
                <w:color w:val="000000"/>
                <w:sz w:val="24"/>
              </w:rPr>
            </w:r>
          </w:p>
        </w:tc>
        <w:tc>
          <w:tcPr>
            <w:shd w:val="clear" w:color="auto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auto" w:sz="4" w:space="0"/>
            </w:tcBorders>
            <w:tcMar>
              <w:left w:w="270" w:type="dxa"/>
              <w:top w:w="180" w:type="dxa"/>
              <w:right w:w="270" w:type="dxa"/>
              <w:bottom w:w="180" w:type="dxa"/>
            </w:tcMar>
            <w:tcW w:w="0" w:type="auto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420" w:lineRule="atLeast"/>
              <w:ind/>
              <w:jc w:val="left"/>
              <w:rPr>
                <w:rFonts w:ascii="Segoe UI" w:hAnsi="Segoe UI" w:eastAsia="宋体" w:cs="Segoe UI"/>
                <w:color w:val="000000"/>
                <w:sz w:val="24"/>
              </w:rPr>
            </w:pP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订货响应率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</w:r>
            <w:r>
              <w:rPr>
                <w:rFonts w:ascii="Segoe UI" w:hAnsi="Segoe UI" w:eastAsia="宋体" w:cs="Segoe UI"/>
                <w:color w:val="000000"/>
                <w:sz w:val="24"/>
              </w:rPr>
            </w:r>
          </w:p>
        </w:tc>
        <w:tc>
          <w:tcPr>
            <w:shd w:val="clear" w:color="auto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auto" w:sz="4" w:space="0"/>
            </w:tcBorders>
            <w:tcMar>
              <w:left w:w="270" w:type="dxa"/>
              <w:top w:w="180" w:type="dxa"/>
              <w:right w:w="270" w:type="dxa"/>
              <w:bottom w:w="180" w:type="dxa"/>
            </w:tcMar>
            <w:tcW w:w="0" w:type="auto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420" w:lineRule="atLeast"/>
              <w:ind/>
              <w:jc w:val="left"/>
              <w:rPr>
                <w:rFonts w:ascii="Segoe UI" w:hAnsi="Segoe UI" w:eastAsia="宋体" w:cs="Segoe UI"/>
                <w:color w:val="000000"/>
                <w:sz w:val="24"/>
              </w:rPr>
            </w:pP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订货响应率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 =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（供货量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 &gt; 0 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的周数）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/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（订货量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 &gt; 0 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的周数）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×100%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</w:r>
            <w:r>
              <w:rPr>
                <w:rFonts w:ascii="Segoe UI" w:hAnsi="Segoe UI" w:eastAsia="宋体" w:cs="Segoe UI"/>
                <w:color w:val="000000"/>
                <w:sz w:val="24"/>
              </w:rPr>
            </w:r>
          </w:p>
        </w:tc>
        <w:tc>
          <w:tcPr>
            <w:shd w:val="clear" w:color="auto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70" w:type="dxa"/>
              <w:top w:w="180" w:type="dxa"/>
              <w:right w:w="270" w:type="dxa"/>
              <w:bottom w:w="180" w:type="dxa"/>
            </w:tcMar>
            <w:tcW w:w="0" w:type="auto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420" w:lineRule="atLeast"/>
              <w:ind/>
              <w:jc w:val="left"/>
              <w:rPr>
                <w:rFonts w:ascii="Segoe UI" w:hAnsi="Segoe UI" w:eastAsia="宋体" w:cs="Segoe UI"/>
                <w:color w:val="000000"/>
                <w:sz w:val="24"/>
              </w:rPr>
            </w:pP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反映供应商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 “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接到订单后的履约积极性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”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，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100% 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表示只要订货就供货，保障生产连续性。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</w:r>
            <w:r>
              <w:rPr>
                <w:rFonts w:ascii="Segoe UI" w:hAnsi="Segoe UI" w:eastAsia="宋体" w:cs="Segoe UI"/>
                <w:color w:val="000000"/>
                <w:sz w:val="24"/>
              </w:rPr>
            </w:r>
          </w:p>
        </w:tc>
      </w:tr>
      <w:tr>
        <w:trPr/>
        <w:tc>
          <w:tcPr>
            <w:shd w:val="clear" w:color="auto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auto" w:sz="4" w:space="0"/>
            </w:tcBorders>
            <w:tcMar>
              <w:left w:w="270" w:type="dxa"/>
              <w:top w:w="180" w:type="dxa"/>
              <w:right w:w="270" w:type="dxa"/>
              <w:bottom w:w="180" w:type="dxa"/>
            </w:tcMar>
            <w:tcW w:w="0" w:type="auto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420" w:lineRule="atLeast"/>
              <w:ind/>
              <w:jc w:val="left"/>
              <w:rPr>
                <w:rFonts w:ascii="Segoe UI" w:hAnsi="Segoe UI" w:eastAsia="宋体" w:cs="Segoe UI"/>
                <w:color w:val="000000"/>
                <w:sz w:val="24"/>
              </w:rPr>
            </w:pP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产能价值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</w:r>
            <w:r>
              <w:rPr>
                <w:rFonts w:ascii="Segoe UI" w:hAnsi="Segoe UI" w:eastAsia="宋体" w:cs="Segoe UI"/>
                <w:color w:val="000000"/>
                <w:sz w:val="24"/>
              </w:rPr>
            </w:r>
          </w:p>
        </w:tc>
        <w:tc>
          <w:tcPr>
            <w:shd w:val="clear" w:color="auto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auto" w:sz="4" w:space="0"/>
            </w:tcBorders>
            <w:tcMar>
              <w:left w:w="270" w:type="dxa"/>
              <w:top w:w="180" w:type="dxa"/>
              <w:right w:w="270" w:type="dxa"/>
              <w:bottom w:w="180" w:type="dxa"/>
            </w:tcMar>
            <w:tcW w:w="0" w:type="auto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420" w:lineRule="atLeast"/>
              <w:ind/>
              <w:jc w:val="left"/>
              <w:rPr>
                <w:rFonts w:ascii="Segoe UI" w:hAnsi="Segoe UI" w:eastAsia="宋体" w:cs="Segoe UI"/>
                <w:color w:val="000000"/>
                <w:sz w:val="24"/>
              </w:rPr>
            </w:pP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等效产能贡献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</w:r>
            <w:r>
              <w:rPr>
                <w:rFonts w:ascii="Segoe UI" w:hAnsi="Segoe UI" w:eastAsia="宋体" w:cs="Segoe UI"/>
                <w:color w:val="000000"/>
                <w:sz w:val="24"/>
              </w:rPr>
            </w:r>
          </w:p>
        </w:tc>
        <w:tc>
          <w:tcPr>
            <w:shd w:val="clear" w:color="auto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auto" w:sz="4" w:space="0"/>
            </w:tcBorders>
            <w:tcMar>
              <w:left w:w="270" w:type="dxa"/>
              <w:top w:w="180" w:type="dxa"/>
              <w:right w:w="270" w:type="dxa"/>
              <w:bottom w:w="180" w:type="dxa"/>
            </w:tcMar>
            <w:tcW w:w="0" w:type="auto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420" w:lineRule="atLeast"/>
              <w:ind/>
              <w:jc w:val="left"/>
              <w:rPr>
                <w:rFonts w:ascii="Segoe UI" w:hAnsi="Segoe UI" w:eastAsia="宋体" w:cs="Segoe UI"/>
                <w:color w:val="000000"/>
                <w:sz w:val="24"/>
              </w:rPr>
            </w:pP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等效产能贡献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 = 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总供货量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 × 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材料系数（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A 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类：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1/0.6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；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B 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类：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1/0.66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；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C 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类：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1/0.72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）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</w:r>
            <w:r>
              <w:rPr>
                <w:rFonts w:ascii="Segoe UI" w:hAnsi="Segoe UI" w:eastAsia="宋体" w:cs="Segoe UI"/>
                <w:color w:val="000000"/>
                <w:sz w:val="24"/>
              </w:rPr>
            </w:r>
          </w:p>
        </w:tc>
        <w:tc>
          <w:tcPr>
            <w:shd w:val="clear" w:color="auto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70" w:type="dxa"/>
              <w:top w:w="180" w:type="dxa"/>
              <w:right w:w="270" w:type="dxa"/>
              <w:bottom w:w="180" w:type="dxa"/>
            </w:tcMar>
            <w:tcW w:w="0" w:type="auto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420" w:lineRule="atLeast"/>
              <w:ind/>
              <w:jc w:val="left"/>
              <w:rPr>
                <w:rFonts w:ascii="Segoe UI" w:hAnsi="Segoe UI" w:eastAsia="宋体" w:cs="Segoe UI"/>
                <w:color w:val="000000"/>
                <w:sz w:val="24"/>
              </w:rPr>
            </w:pP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将不同材料的供货量统一转化为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 “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可支撑的产品产能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”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，直接关联企业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 2.82 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万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 m³/ 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周的产能需求，体现供货的实际价值。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</w:r>
            <w:r>
              <w:rPr>
                <w:rFonts w:ascii="Segoe UI" w:hAnsi="Segoe UI" w:eastAsia="宋体" w:cs="Segoe UI"/>
                <w:color w:val="000000"/>
                <w:sz w:val="24"/>
              </w:rPr>
            </w:r>
          </w:p>
        </w:tc>
      </w:tr>
      <w:tr>
        <w:trPr/>
        <w:tc>
          <w:tcPr>
            <w:shd w:val="clear" w:color="auto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auto" w:sz="4" w:space="0"/>
            </w:tcBorders>
            <w:tcMar>
              <w:left w:w="270" w:type="dxa"/>
              <w:top w:w="180" w:type="dxa"/>
              <w:right w:w="270" w:type="dxa"/>
              <w:bottom w:w="180" w:type="dxa"/>
            </w:tcMar>
            <w:tcW w:w="0" w:type="auto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420" w:lineRule="atLeast"/>
              <w:ind/>
              <w:jc w:val="left"/>
              <w:rPr>
                <w:rFonts w:ascii="Segoe UI" w:hAnsi="Segoe UI" w:eastAsia="宋体" w:cs="Segoe UI"/>
                <w:color w:val="000000"/>
                <w:sz w:val="24"/>
              </w:rPr>
            </w:pP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合作连续性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</w:r>
            <w:r>
              <w:rPr>
                <w:rFonts w:ascii="Segoe UI" w:hAnsi="Segoe UI" w:eastAsia="宋体" w:cs="Segoe UI"/>
                <w:color w:val="000000"/>
                <w:sz w:val="24"/>
              </w:rPr>
            </w:r>
          </w:p>
        </w:tc>
        <w:tc>
          <w:tcPr>
            <w:shd w:val="clear" w:color="auto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auto" w:sz="4" w:space="0"/>
            </w:tcBorders>
            <w:tcMar>
              <w:left w:w="270" w:type="dxa"/>
              <w:top w:w="180" w:type="dxa"/>
              <w:right w:w="270" w:type="dxa"/>
              <w:bottom w:w="180" w:type="dxa"/>
            </w:tcMar>
            <w:tcW w:w="0" w:type="auto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420" w:lineRule="atLeast"/>
              <w:ind/>
              <w:jc w:val="left"/>
              <w:rPr>
                <w:rFonts w:ascii="Segoe UI" w:hAnsi="Segoe UI" w:eastAsia="宋体" w:cs="Segoe UI"/>
                <w:color w:val="000000"/>
                <w:sz w:val="24"/>
              </w:rPr>
            </w:pP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最大连续供货周数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</w:r>
            <w:r>
              <w:rPr>
                <w:rFonts w:ascii="Segoe UI" w:hAnsi="Segoe UI" w:eastAsia="宋体" w:cs="Segoe UI"/>
                <w:color w:val="000000"/>
                <w:sz w:val="24"/>
              </w:rPr>
            </w:r>
          </w:p>
        </w:tc>
        <w:tc>
          <w:tcPr>
            <w:shd w:val="clear" w:color="auto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auto" w:sz="4" w:space="0"/>
            </w:tcBorders>
            <w:tcMar>
              <w:left w:w="270" w:type="dxa"/>
              <w:top w:w="180" w:type="dxa"/>
              <w:right w:w="270" w:type="dxa"/>
              <w:bottom w:w="180" w:type="dxa"/>
            </w:tcMar>
            <w:tcW w:w="0" w:type="auto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420" w:lineRule="atLeast"/>
              <w:ind/>
              <w:jc w:val="left"/>
              <w:rPr>
                <w:rFonts w:ascii="Segoe UI" w:hAnsi="Segoe UI" w:eastAsia="宋体" w:cs="Segoe UI"/>
                <w:color w:val="000000"/>
                <w:sz w:val="24"/>
              </w:rPr>
            </w:pP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统计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 “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订货量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&gt; 0 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且供货量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 &gt; 0” 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的连续周数最大值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</w:r>
            <w:r>
              <w:rPr>
                <w:rFonts w:ascii="Segoe UI" w:hAnsi="Segoe UI" w:eastAsia="宋体" w:cs="Segoe UI"/>
                <w:color w:val="000000"/>
                <w:sz w:val="24"/>
              </w:rPr>
            </w:r>
          </w:p>
        </w:tc>
        <w:tc>
          <w:tcPr>
            <w:shd w:val="clear" w:color="auto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70" w:type="dxa"/>
              <w:top w:w="180" w:type="dxa"/>
              <w:right w:w="270" w:type="dxa"/>
              <w:bottom w:w="180" w:type="dxa"/>
            </w:tcMar>
            <w:tcW w:w="0" w:type="auto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420" w:lineRule="atLeast"/>
              <w:ind/>
              <w:jc w:val="left"/>
              <w:rPr>
                <w:rFonts w:ascii="Segoe UI" w:hAnsi="Segoe UI" w:eastAsia="宋体" w:cs="Segoe UI"/>
                <w:color w:val="000000"/>
                <w:sz w:val="24"/>
              </w:rPr>
            </w:pP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连续供货周数越长，企业无需频繁切换供应商，减少供应链波动，降低断供风险。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</w:r>
            <w:r>
              <w:rPr>
                <w:rFonts w:ascii="Segoe UI" w:hAnsi="Segoe UI" w:eastAsia="宋体" w:cs="Segoe UI"/>
                <w:color w:val="000000"/>
                <w:sz w:val="24"/>
              </w:rPr>
            </w:r>
          </w:p>
        </w:tc>
      </w:tr>
      <w:tr>
        <w:trPr/>
        <w:tc>
          <w:tcPr>
            <w:shd w:val="clear" w:color="auto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auto" w:sz="4" w:space="0"/>
            </w:tcBorders>
            <w:tcMar>
              <w:left w:w="270" w:type="dxa"/>
              <w:top w:w="180" w:type="dxa"/>
              <w:right w:w="270" w:type="dxa"/>
              <w:bottom w:w="180" w:type="dxa"/>
            </w:tcMar>
            <w:tcW w:w="0" w:type="auto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420" w:lineRule="atLeast"/>
              <w:ind/>
              <w:jc w:val="left"/>
              <w:rPr>
                <w:rFonts w:ascii="Segoe UI" w:hAnsi="Segoe UI" w:eastAsia="宋体" w:cs="Segoe UI"/>
                <w:color w:val="000000"/>
                <w:sz w:val="24"/>
              </w:rPr>
            </w:pP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供需匹配稳定性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</w:r>
            <w:r>
              <w:rPr>
                <w:rFonts w:ascii="Segoe UI" w:hAnsi="Segoe UI" w:eastAsia="宋体" w:cs="Segoe UI"/>
                <w:color w:val="000000"/>
                <w:sz w:val="24"/>
              </w:rPr>
            </w:r>
          </w:p>
        </w:tc>
        <w:tc>
          <w:tcPr>
            <w:shd w:val="clear" w:color="auto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auto" w:sz="4" w:space="0"/>
            </w:tcBorders>
            <w:tcMar>
              <w:left w:w="270" w:type="dxa"/>
              <w:top w:w="180" w:type="dxa"/>
              <w:right w:w="270" w:type="dxa"/>
              <w:bottom w:w="180" w:type="dxa"/>
            </w:tcMar>
            <w:tcW w:w="0" w:type="auto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420" w:lineRule="atLeast"/>
              <w:ind/>
              <w:jc w:val="left"/>
              <w:rPr>
                <w:rFonts w:ascii="Segoe UI" w:hAnsi="Segoe UI" w:eastAsia="宋体" w:cs="Segoe UI"/>
                <w:color w:val="000000"/>
                <w:sz w:val="24"/>
              </w:rPr>
            </w:pP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供需偏差波动率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</w:r>
            <w:r>
              <w:rPr>
                <w:rFonts w:ascii="Segoe UI" w:hAnsi="Segoe UI" w:eastAsia="宋体" w:cs="Segoe UI"/>
                <w:color w:val="000000"/>
                <w:sz w:val="24"/>
              </w:rPr>
            </w:r>
          </w:p>
        </w:tc>
        <w:tc>
          <w:tcPr>
            <w:shd w:val="clear" w:color="auto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auto" w:sz="4" w:space="0"/>
            </w:tcBorders>
            <w:tcMar>
              <w:left w:w="270" w:type="dxa"/>
              <w:top w:w="180" w:type="dxa"/>
              <w:right w:w="270" w:type="dxa"/>
              <w:bottom w:w="180" w:type="dxa"/>
            </w:tcMar>
            <w:tcW w:w="0" w:type="auto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420" w:lineRule="atLeast"/>
              <w:ind/>
              <w:jc w:val="left"/>
              <w:rPr>
                <w:rFonts w:ascii="Segoe UI" w:hAnsi="Segoe UI" w:eastAsia="宋体" w:cs="Segoe UI"/>
                <w:color w:val="000000"/>
                <w:sz w:val="24"/>
              </w:rPr>
            </w:pP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仅计算</w:t>
            </w:r>
            <w:r>
              <w:rPr>
                <w:rFonts w:ascii="Segoe UI" w:hAnsi="Segoe UI" w:eastAsia="宋体" w:cs="Segoe UI"/>
                <w:b/>
                <w:bCs/>
                <w:color w:val="000000"/>
                <w:sz w:val="24"/>
              </w:rPr>
              <w:t xml:space="preserve">有效合作周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：</w:t>
            </w:r>
            <w:r>
              <w:rPr>
                <w:rFonts w:ascii="Segoe UI" w:hAnsi="Segoe UI" w:eastAsia="宋体" w:cs="Segoe UI"/>
                <w:color w:val="000000"/>
                <w:sz w:val="3"/>
                <w:szCs w:val="3"/>
              </w:rPr>
              <w:br/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1. 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单周偏差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 Δ= 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供货量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 - 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订货量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br/>
              <w:t xml:space="preserve">2. 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偏差波动率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 = Var (Δ)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（方差）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</w:r>
            <w:r>
              <w:rPr>
                <w:rFonts w:ascii="Segoe UI" w:hAnsi="Segoe UI" w:eastAsia="宋体" w:cs="Segoe UI"/>
                <w:color w:val="000000"/>
                <w:sz w:val="24"/>
              </w:rPr>
            </w:r>
          </w:p>
        </w:tc>
        <w:tc>
          <w:tcPr>
            <w:shd w:val="clear" w:color="auto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70" w:type="dxa"/>
              <w:top w:w="180" w:type="dxa"/>
              <w:right w:w="270" w:type="dxa"/>
              <w:bottom w:w="180" w:type="dxa"/>
            </w:tcMar>
            <w:tcW w:w="0" w:type="auto"/>
            <w:vAlign w:val="center"/>
            <w:textDirection w:val="lrTb"/>
            <w:noWrap w:val="false"/>
          </w:tcPr>
          <w:p>
            <w:pPr>
              <w:widowControl w:val="true"/>
              <w:pBdr/>
              <w:spacing w:line="420" w:lineRule="atLeast"/>
              <w:ind/>
              <w:jc w:val="left"/>
              <w:rPr>
                <w:rFonts w:ascii="Segoe UI" w:hAnsi="Segoe UI" w:eastAsia="宋体" w:cs="Segoe UI"/>
                <w:color w:val="000000"/>
                <w:sz w:val="24"/>
              </w:rPr>
            </w:pP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量化供需偏差（超供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 / 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  <w:t xml:space="preserve">缺供）的波动程度，越小说明供需关系越可预测，企业可精准规划库存（避免积压或断供）。</w:t>
            </w:r>
            <w:r>
              <w:rPr>
                <w:rFonts w:ascii="Segoe UI" w:hAnsi="Segoe UI" w:eastAsia="宋体" w:cs="Segoe UI"/>
                <w:color w:val="000000"/>
                <w:sz w:val="24"/>
              </w:rPr>
            </w:r>
            <w:r>
              <w:rPr>
                <w:rFonts w:ascii="Segoe UI" w:hAnsi="Segoe UI" w:eastAsia="宋体" w:cs="Segoe UI"/>
                <w:color w:val="000000"/>
                <w:sz w:val="24"/>
              </w:rPr>
            </w:r>
          </w:p>
        </w:tc>
      </w:tr>
    </w:tbl>
    <w:p>
      <w:pPr>
        <w:pBdr/>
        <w:spacing w:after="120" w:before="120"/>
        <w:ind w:firstLine="48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</w:r>
      <w:r>
        <w:rPr>
          <w:rFonts w:hint="eastAsia" w:ascii="宋体" w:hAnsi="宋体" w:eastAsia="宋体" w:cs="宋体"/>
          <w:sz w:val="24"/>
        </w:rPr>
      </w:r>
      <w:r>
        <w:rPr>
          <w:rFonts w:hint="eastAsia" w:ascii="宋体" w:hAnsi="宋体" w:eastAsia="宋体" w:cs="宋体"/>
          <w:sz w:val="24"/>
        </w:rPr>
      </w:r>
    </w:p>
    <w:p>
      <w:pPr>
        <w:pBdr/>
        <w:spacing w:after="120" w:before="120"/>
        <w:ind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 xml:space="preserve">6.2.</w:t>
      </w:r>
      <w:r>
        <w:rPr>
          <w:rFonts w:hint="eastAsia" w:ascii="黑体" w:hAnsi="黑体" w:eastAsia="黑体" w:cs="黑体"/>
          <w:sz w:val="24"/>
        </w:rPr>
        <w:t xml:space="preserve">2</w:t>
      </w:r>
      <w:r>
        <w:rPr>
          <w:rFonts w:hint="eastAsia" w:ascii="黑体" w:hAnsi="黑体" w:eastAsia="黑体" w:cs="黑体"/>
          <w:sz w:val="24"/>
        </w:rPr>
        <w:t xml:space="preserve">熵权法</w:t>
      </w:r>
      <w:r>
        <w:rPr>
          <w:rFonts w:hint="eastAsia" w:ascii="黑体" w:hAnsi="黑体" w:eastAsia="黑体" w:cs="黑体"/>
          <w:sz w:val="24"/>
        </w:rPr>
        <w:t xml:space="preserve">确定权重</w:t>
      </w:r>
      <w:r>
        <w:rPr>
          <w:rFonts w:hint="eastAsia" w:ascii="黑体" w:hAnsi="黑体" w:eastAsia="黑体" w:cs="黑体"/>
          <w:sz w:val="24"/>
        </w:rPr>
      </w:r>
      <w:r>
        <w:rPr>
          <w:rFonts w:hint="eastAsia" w:ascii="黑体" w:hAnsi="黑体" w:eastAsia="黑体" w:cs="黑体"/>
          <w:sz w:val="24"/>
        </w:rPr>
      </w:r>
    </w:p>
    <w:p>
      <w:pPr>
        <w:pBdr/>
        <w:spacing w:after="120" w:before="120"/>
        <w:ind w:firstLine="48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六项指标</w:t>
      </w:r>
      <w:r>
        <w:rPr>
          <w:rFonts w:hint="eastAsia" w:ascii="宋体" w:hAnsi="宋体" w:eastAsia="宋体" w:cs="宋体"/>
          <w:sz w:val="24"/>
        </w:rPr>
        <w:t xml:space="preserve">通过熵权法</w:t>
      </w:r>
      <w:r>
        <w:rPr>
          <w:rFonts w:hint="eastAsia" w:ascii="宋体" w:hAnsi="宋体" w:eastAsia="宋体" w:cs="宋体"/>
          <w:sz w:val="24"/>
        </w:rPr>
        <w:t xml:space="preserve">所得权重如下表。</w:t>
      </w:r>
      <w:r>
        <w:rPr>
          <w:rFonts w:hint="eastAsia" w:ascii="宋体" w:hAnsi="宋体" w:eastAsia="宋体" w:cs="宋体"/>
          <w:sz w:val="24"/>
        </w:rPr>
      </w:r>
      <w:r>
        <w:rPr>
          <w:rFonts w:hint="eastAsia" w:ascii="宋体" w:hAnsi="宋体" w:eastAsia="宋体" w:cs="宋体"/>
          <w:sz w:val="24"/>
        </w:rPr>
      </w:r>
    </w:p>
    <w:p>
      <w:pPr>
        <w:pBdr/>
        <w:spacing w:after="120" w:before="120"/>
        <w:ind w:firstLine="480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2446020</wp:posOffset>
                </wp:positionH>
                <wp:positionV relativeFrom="paragraph">
                  <wp:posOffset>68580</wp:posOffset>
                </wp:positionV>
                <wp:extent cx="2148840" cy="2216150"/>
                <wp:effectExtent l="0" t="0" r="3810" b="0"/>
                <wp:wrapThrough wrapText="bothSides">
                  <wp:wrapPolygon edited="1">
                    <wp:start x="0" y="0"/>
                    <wp:lineTo x="0" y="21352"/>
                    <wp:lineTo x="21447" y="21352"/>
                    <wp:lineTo x="21447" y="0"/>
                    <wp:lineTo x="0" y="0"/>
                  </wp:wrapPolygon>
                </wp:wrapThrough>
                <wp:docPr id="7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6232928" name="图片 2036232928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148840" cy="2216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position:absolute;z-index:251663360;o:allowoverlap:true;o:allowincell:true;mso-position-horizontal-relative:margin;margin-left:192.60pt;mso-position-horizontal:absolute;mso-position-vertical-relative:text;margin-top:5.40pt;mso-position-vertical:absolute;width:169.20pt;height:174.50pt;mso-wrap-distance-left:9.00pt;mso-wrap-distance-top:0.00pt;mso-wrap-distance-right:9.00pt;mso-wrap-distance-bottom:0.00pt;z-index:1;" wrapcoords="0 0 0 98852 99292 98852 99292 0 0 0" stroked="false">
                <w10:wrap type="through"/>
                <v:imagedata r:id="rId15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19225" cy="2047875"/>
                <wp:effectExtent l="0" t="0" r="9525" b="9525"/>
                <wp:docPr id="8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61198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1419225" cy="2047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111.75pt;height:161.2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黑体" w:hAnsi="黑体" w:eastAsia="黑体" w:cs="黑体"/>
          <w:sz w:val="24"/>
        </w:rPr>
      </w:r>
      <w:r>
        <w:rPr>
          <w:rFonts w:ascii="黑体" w:hAnsi="黑体" w:eastAsia="黑体" w:cs="黑体"/>
          <w:sz w:val="24"/>
        </w:rPr>
      </w:r>
    </w:p>
    <w:p>
      <w:pPr>
        <w:pBdr/>
        <w:spacing w:after="120" w:before="120"/>
        <w:ind w:firstLine="48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</w:r>
      <w:r>
        <w:rPr>
          <w:rFonts w:hint="eastAsia" w:ascii="黑体" w:hAnsi="黑体" w:eastAsia="黑体" w:cs="黑体"/>
          <w:sz w:val="24"/>
        </w:rPr>
      </w:r>
      <w:r>
        <w:rPr>
          <w:rFonts w:hint="eastAsia" w:ascii="黑体" w:hAnsi="黑体" w:eastAsia="黑体" w:cs="黑体"/>
          <w:sz w:val="24"/>
        </w:rPr>
      </w:r>
    </w:p>
    <w:p>
      <w:pPr>
        <w:pBdr/>
        <w:spacing w:after="120" w:before="120"/>
        <w:ind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 xml:space="preserve">6.</w:t>
      </w:r>
      <w:r>
        <w:rPr>
          <w:rFonts w:hint="eastAsia" w:ascii="黑体" w:hAnsi="黑体" w:eastAsia="黑体" w:cs="黑体"/>
          <w:sz w:val="24"/>
        </w:rPr>
        <w:t xml:space="preserve">2</w:t>
      </w:r>
      <w:r>
        <w:rPr>
          <w:rFonts w:hint="eastAsia" w:ascii="黑体" w:hAnsi="黑体" w:eastAsia="黑体" w:cs="黑体"/>
          <w:sz w:val="24"/>
        </w:rPr>
        <w:t xml:space="preserve">.</w:t>
      </w:r>
      <w:r>
        <w:rPr>
          <w:rFonts w:hint="eastAsia" w:ascii="黑体" w:hAnsi="黑体" w:eastAsia="黑体" w:cs="黑体"/>
          <w:sz w:val="24"/>
        </w:rPr>
        <w:t xml:space="preserve">3优劣解距离法排序</w:t>
      </w:r>
      <w:r>
        <w:rPr>
          <w:rFonts w:hint="eastAsia" w:ascii="黑体" w:hAnsi="黑体" w:eastAsia="黑体" w:cs="黑体"/>
          <w:sz w:val="24"/>
        </w:rPr>
      </w:r>
      <w:r>
        <w:rPr>
          <w:rFonts w:hint="eastAsia" w:ascii="黑体" w:hAnsi="黑体" w:eastAsia="黑体" w:cs="黑体"/>
          <w:sz w:val="24"/>
        </w:rPr>
      </w:r>
    </w:p>
    <w:p>
      <w:pPr>
        <w:pBdr/>
        <w:spacing w:after="120" w:before="120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按得分高低排序</w:t>
      </w:r>
      <w:r>
        <w:rPr>
          <w:rFonts w:hint="eastAsia" w:ascii="宋体" w:hAnsi="宋体" w:eastAsia="宋体" w:cs="宋体"/>
          <w:sz w:val="24"/>
        </w:rPr>
        <w:t xml:space="preserve">前</w:t>
      </w:r>
      <w:r>
        <w:rPr>
          <w:rFonts w:hint="eastAsia" w:ascii="宋体" w:hAnsi="宋体" w:eastAsia="宋体" w:cs="宋体"/>
          <w:sz w:val="24"/>
        </w:rPr>
        <w:t xml:space="preserve">,</w:t>
      </w:r>
      <w:r>
        <w:rPr>
          <w:rFonts w:hint="eastAsia" w:ascii="宋体" w:hAnsi="宋体" w:eastAsia="宋体" w:cs="宋体"/>
          <w:sz w:val="24"/>
        </w:rPr>
        <w:t xml:space="preserve">五十家供应</w:t>
      </w:r>
      <w:r>
        <w:rPr>
          <w:rFonts w:hint="eastAsia" w:ascii="宋体" w:hAnsi="宋体" w:eastAsia="宋体" w:cs="宋体"/>
          <w:sz w:val="24"/>
        </w:rPr>
        <w:t xml:space="preserve">商如下</w:t>
      </w:r>
      <w:r>
        <w:rPr>
          <w:rFonts w:hint="eastAsia" w:ascii="宋体" w:hAnsi="宋体" w:eastAsia="宋体" w:cs="宋体"/>
          <w:sz w:val="24"/>
        </w:rPr>
        <w:t xml:space="preserve">表</w:t>
      </w:r>
      <w:r>
        <w:rPr>
          <w:rFonts w:hint="eastAsia" w:ascii="宋体" w:hAnsi="宋体" w:eastAsia="宋体" w:cs="宋体"/>
          <w:sz w:val="24"/>
        </w:rPr>
        <w:t xml:space="preserve">（也可以放到附件中看你咋选）</w:t>
      </w:r>
      <w:r>
        <w:rPr>
          <w:rFonts w:ascii="宋体" w:hAnsi="宋体" w:eastAsia="宋体" w:cs="宋体"/>
          <w:sz w:val="24"/>
        </w:rPr>
      </w:r>
      <w:r>
        <w:rPr>
          <w:rFonts w:ascii="宋体" w:hAnsi="宋体" w:eastAsia="宋体" w:cs="宋体"/>
          <w:sz w:val="24"/>
        </w:rPr>
      </w:r>
    </w:p>
    <w:tbl>
      <w:tblPr>
        <w:tblStyle w:val="89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036"/>
        <w:gridCol w:w="1896"/>
        <w:gridCol w:w="2876"/>
      </w:tblGrid>
      <w:tr>
        <w:trPr>
          <w:trHeight w:val="288"/>
        </w:trPr>
        <w:tc>
          <w:tcPr>
            <w:tcBorders>
              <w:top w:val="single" w:color="auto" w:sz="4" w:space="0"/>
              <w:bottom w:val="single" w:color="auto" w:sz="4" w:space="0"/>
            </w:tcBorders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suppliers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material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1563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ImportanceScore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auto" w:sz="4" w:space="0"/>
            </w:tcBorders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S229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</w:tcBorders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A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</w:tcBorders>
            <w:tcW w:w="1563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0.918437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S361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C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1563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0.879396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S108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B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1563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0.812943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S282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A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1563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0.796287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S275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A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1563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0.789449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S329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A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1563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0.787653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S340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B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1563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0.786483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S131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B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1563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0.761558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S268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C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1563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0.751008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S306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C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1563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0.748321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S356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C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1563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0.746551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S352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A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1563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0.735321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S151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C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1563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0.733772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S194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C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1563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0.733637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S330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B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1563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0.732246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S308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B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1563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0.727491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S143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A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1563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0.71746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S247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C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1563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0.709181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S140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B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1563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0.708863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S031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B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1563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0.702823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S284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C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1563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0.700101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S365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C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1563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0.700002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S040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B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1563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0.693154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S266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A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1563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0.691375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S294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C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1563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0.69028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S364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B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1563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0.689749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S346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B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1563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0.687354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S367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B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1563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0.687329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S218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C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1563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0.687239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S080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C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1563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0.686251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S123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A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1563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0.684676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S244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C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1563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0.68245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S007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A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1563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0.679356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S067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C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1563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0.663811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S055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B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1563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0.657733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S076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C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1563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0.644913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S189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A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1563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0.643022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S139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B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1563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0.640978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S338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B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1563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0.639566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S213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C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1563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0.638516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S314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C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1563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0.637897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S239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C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1563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0.63289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S174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B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1563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0.631935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S237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A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1563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0.629497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S092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B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1563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0.62484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S098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B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1563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0.620359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S005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A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1563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0.616866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S175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B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1563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0.608166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S178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A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/>
            <w:tcW w:w="1563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0.604361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>
              <w:bottom w:val="single" w:color="auto" w:sz="4" w:space="0"/>
            </w:tcBorders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S169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>
              <w:bottom w:val="single" w:color="auto" w:sz="4" w:space="0"/>
            </w:tcBorders>
            <w:tcW w:w="960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B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  <w:tc>
          <w:tcPr>
            <w:tcBorders>
              <w:bottom w:val="single" w:color="auto" w:sz="4" w:space="0"/>
            </w:tcBorders>
            <w:tcW w:w="1563" w:type="dxa"/>
            <w:textDirection w:val="lrTb"/>
            <w:noWrap/>
          </w:tcPr>
          <w:p>
            <w:pPr>
              <w:pBdr/>
              <w:spacing w:after="120" w:before="120"/>
              <w:ind w:firstLine="560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 xml:space="preserve">0.6037</w:t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  <w:r>
              <w:rPr>
                <w:rFonts w:ascii="黑体" w:hAnsi="黑体" w:eastAsia="黑体" w:cs="黑体"/>
                <w:sz w:val="28"/>
                <w:szCs w:val="28"/>
              </w:rPr>
            </w:r>
          </w:p>
        </w:tc>
      </w:tr>
    </w:tbl>
    <w:p>
      <w:pPr>
        <w:pBdr/>
        <w:spacing w:after="120" w:before="120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前50排名直方图如图所示。</w:t>
      </w:r>
      <w:r>
        <w:rPr>
          <w:rFonts w:ascii="宋体" w:hAnsi="宋体" w:eastAsia="宋体" w:cs="宋体"/>
          <w:sz w:val="24"/>
        </w:rPr>
      </w:r>
      <w:r>
        <w:rPr>
          <w:rFonts w:ascii="宋体" w:hAnsi="宋体" w:eastAsia="宋体" w:cs="宋体"/>
          <w:sz w:val="24"/>
        </w:rPr>
      </w:r>
    </w:p>
    <w:p>
      <w:pPr>
        <w:pBdr/>
        <w:spacing w:after="120" w:before="120"/>
        <w:ind w:firstLine="480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3956050"/>
                <wp:effectExtent l="0" t="0" r="2540" b="6350"/>
                <wp:docPr id="9" name="图片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5627677" name="图片 28562767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274310" cy="3956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15.30pt;height:311.5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</w:rPr>
      </w:r>
      <w:r>
        <w:rPr>
          <w:rFonts w:hint="eastAsia" w:ascii="宋体" w:hAnsi="宋体" w:eastAsia="宋体" w:cs="宋体"/>
          <w:sz w:val="24"/>
          <w:szCs w:val="24"/>
          <w:highlight w:val="none"/>
        </w:rPr>
      </w:r>
    </w:p>
    <w:p>
      <w:pPr>
        <w:pBdr/>
        <w:spacing w:after="120" w:before="120"/>
        <w:ind w:firstLine="480"/>
        <w:rPr/>
      </w:pPr>
      <w:r>
        <w:rPr>
          <w:rFonts w:hint="eastAsia" w:ascii="宋体" w:hAnsi="宋体" w:eastAsia="宋体" w:cs="宋体"/>
          <w:sz w:val="24"/>
          <w:highlight w:val="none"/>
        </w:rPr>
        <w:t xml:space="preserve">问题二模型的建立与求解</w:t>
      </w:r>
      <w:r>
        <w:rPr>
          <w:rFonts w:hint="eastAsia" w:ascii="宋体" w:hAnsi="宋体" w:eastAsia="宋体" w:cs="宋体"/>
          <w:sz w:val="24"/>
          <w:highlight w:val="none"/>
        </w:rPr>
      </w:r>
      <w:r/>
    </w:p>
    <w:p>
      <w:pPr>
        <w:pBdr/>
        <w:spacing w:after="120" w:before="120"/>
        <w:ind w:firstLine="480"/>
        <w:rPr/>
      </w:pPr>
      <w:r>
        <w:rPr>
          <w:rFonts w:hint="eastAsia" w:ascii="宋体" w:hAnsi="宋体" w:eastAsia="宋体" w:cs="宋体"/>
          <w:sz w:val="24"/>
          <w:highlight w:val="none"/>
        </w:rPr>
        <w:t xml:space="preserve">本问旨在通过多目标优化模型，在满足生产需求的前提下，确定最优的供应商数量、订购方案和转运方案。模型的核心目标是最小化总成本和总损耗，并以此为基础对方案进行效果分析。</w:t>
      </w:r>
      <w:r>
        <w:rPr>
          <w:rFonts w:hint="eastAsia" w:ascii="宋体" w:hAnsi="宋体" w:eastAsia="宋体" w:cs="宋体"/>
          <w:sz w:val="24"/>
          <w:highlight w:val="none"/>
        </w:rPr>
      </w:r>
      <w:r/>
    </w:p>
    <w:p>
      <w:pPr>
        <w:pBdr/>
        <w:spacing w:after="120" w:before="120"/>
        <w:ind w:firstLine="480"/>
        <w:rPr/>
      </w:pPr>
      <w:r>
        <w:rPr>
          <w:rFonts w:hint="eastAsia" w:ascii="宋体" w:hAnsi="宋体" w:eastAsia="宋体" w:cs="宋体"/>
          <w:sz w:val="24"/>
          <w:highlight w:val="none"/>
        </w:rPr>
        <w:t xml:space="preserve">7.1 模型构建</w:t>
      </w:r>
      <w:r>
        <w:rPr>
          <w:rFonts w:hint="eastAsia" w:ascii="宋体" w:hAnsi="宋体" w:eastAsia="宋体" w:cs="宋体"/>
          <w:sz w:val="24"/>
          <w:highlight w:val="none"/>
        </w:rPr>
      </w:r>
      <w:r/>
    </w:p>
    <w:p>
      <w:pPr>
        <w:pBdr/>
        <w:spacing w:after="120" w:before="120"/>
        <w:ind w:firstLine="480"/>
        <w:rPr/>
      </w:pPr>
      <w:r>
        <w:rPr>
          <w:rFonts w:hint="eastAsia" w:ascii="宋体" w:hAnsi="宋体" w:eastAsia="宋体" w:cs="宋体"/>
          <w:sz w:val="24"/>
          <w:highlight w:val="none"/>
        </w:rPr>
        <w:t xml:space="preserve">本模型以保障生产为首要前提，将问题分解为“供应商选择”、“订购量优化”和“转运方案优化”三个子模块，构建一个线性规划模型。</w:t>
      </w:r>
      <w:r>
        <w:rPr>
          <w:rFonts w:hint="eastAsia" w:ascii="宋体" w:hAnsi="宋体" w:eastAsia="宋体" w:cs="宋体"/>
          <w:sz w:val="24"/>
          <w:highlight w:val="none"/>
        </w:rPr>
      </w:r>
      <w:r/>
    </w:p>
    <w:p>
      <w:pPr>
        <w:pBdr/>
        <w:spacing w:after="120" w:before="120"/>
        <w:ind w:firstLine="480"/>
        <w:rPr/>
      </w:pPr>
      <w:r>
        <w:rPr>
          <w:rFonts w:hint="eastAsia" w:ascii="宋体" w:hAnsi="宋体" w:eastAsia="宋体" w:cs="宋体"/>
          <w:sz w:val="24"/>
          <w:highlight w:val="none"/>
        </w:rPr>
        <w:t xml:space="preserve"> 7.1.1 决策变量</w:t>
      </w:r>
      <w:r>
        <w:rPr>
          <w:rFonts w:hint="eastAsia" w:ascii="宋体" w:hAnsi="宋体" w:eastAsia="宋体" w:cs="宋体"/>
          <w:sz w:val="24"/>
          <w:highlight w:val="none"/>
        </w:rPr>
      </w:r>
      <w:r/>
    </w:p>
    <w:p>
      <w:pPr>
        <w:pBdr/>
        <w:spacing w:after="120" w:before="120"/>
        <w:ind w:firstLine="480"/>
        <w:rPr/>
      </w:pPr>
      <w:r>
        <w:rPr>
          <w:rFonts w:hint="eastAsia" w:ascii="宋体" w:hAnsi="宋体" w:eastAsia="宋体" w:cs="宋体"/>
          <w:sz w:val="24"/>
          <w:highlight w:val="none"/>
        </w:rPr>
        <w:t xml:space="preserve"> 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4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</w:rPr>
              <m:rPr>
                <m:sty m:val="i"/>
              </m:rPr>
              <m:t>it</m:t>
            </m:r>
          </m:sub>
        </m:sSub>
      </m:oMath>
      <w:r>
        <w:rPr>
          <w:rFonts w:hint="eastAsia" w:ascii="宋体" w:hAnsi="宋体" w:eastAsia="宋体" w:cs="宋体"/>
          <w:sz w:val="24"/>
          <w:highlight w:val="none"/>
        </w:rPr>
        <w:t xml:space="preserve">: 第i家供应商第t周的订购量（</w:t>
      </w:r>
      <w:r>
        <w:rPr>
          <w:rFonts w:hint="eastAsia" w:ascii="宋体" w:hAnsi="宋体" w:eastAsia="宋体" w:cs="宋体"/>
          <w:sz w:val="24"/>
          <w:highlight w:val="none"/>
        </w:rPr>
        <w:t xml:space="preserve">m</w:t>
      </w:r>
      <w:r>
        <w:rPr>
          <w:rFonts w:hint="eastAsia" w:ascii="宋体" w:hAnsi="宋体" w:eastAsia="宋体" w:cs="宋体"/>
          <w:sz w:val="24"/>
          <w:highlight w:val="none"/>
          <w:vertAlign w:val="superscript"/>
        </w:rPr>
        <w:t xml:space="preserve">3</w:t>
      </w:r>
      <w:r>
        <w:rPr>
          <w:rFonts w:hint="eastAsia" w:ascii="宋体" w:hAnsi="宋体" w:eastAsia="宋体" w:cs="宋体"/>
          <w:sz w:val="24"/>
          <w:highlight w:val="none"/>
        </w:rPr>
        <w:t xml:space="preserve">）。</w:t>
      </w:r>
      <w:r>
        <w:rPr>
          <w:rFonts w:hint="eastAsia" w:ascii="宋体" w:hAnsi="宋体" w:eastAsia="宋体" w:cs="宋体"/>
          <w:sz w:val="24"/>
          <w:highlight w:val="none"/>
        </w:rPr>
      </w:r>
      <w:r/>
    </w:p>
    <w:p>
      <w:pPr>
        <w:pBdr/>
        <w:spacing w:after="120" w:before="120"/>
        <w:ind w:firstLine="480"/>
        <w:rPr/>
      </w:pPr>
      <w:r>
        <w:rPr>
          <w:rFonts w:hint="eastAsia" w:ascii="宋体" w:hAnsi="宋体" w:eastAsia="宋体" w:cs="宋体"/>
          <w:sz w:val="24"/>
          <w:highlight w:val="none"/>
        </w:rPr>
        <w:t xml:space="preserve"> 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4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</w:rPr>
              <m:rPr>
                <m:sty m:val="i"/>
              </m:rPr>
              <m:t>W</m:t>
            </m:r>
          </m:e>
          <m:sub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</w:rPr>
              <m:rPr>
                <m:sty m:val="i"/>
              </m:rPr>
              <m:t>itk</m:t>
            </m:r>
          </m:sub>
        </m:sSub>
      </m:oMath>
      <w:r>
        <w:rPr>
          <w:rFonts w:hint="eastAsia" w:ascii="宋体" w:hAnsi="宋体" w:eastAsia="宋体" w:cs="宋体"/>
          <w:sz w:val="24"/>
          <w:highlight w:val="none"/>
        </w:rPr>
        <w:t xml:space="preserve">: 第i家供应商第t周运给第k家转运商的供货量（</w:t>
      </w:r>
      <w:r>
        <w:rPr>
          <w:rFonts w:hint="eastAsia" w:ascii="宋体" w:hAnsi="宋体" w:eastAsia="宋体" w:cs="宋体"/>
          <w:sz w:val="24"/>
          <w:highlight w:val="none"/>
        </w:rPr>
        <w:t xml:space="preserve">m</w:t>
      </w:r>
      <w:r>
        <w:rPr>
          <w:rFonts w:hint="eastAsia" w:ascii="宋体" w:hAnsi="宋体" w:eastAsia="宋体" w:cs="宋体"/>
          <w:sz w:val="24"/>
          <w:highlight w:val="none"/>
          <w:vertAlign w:val="superscript"/>
        </w:rPr>
        <w:t xml:space="preserve">3</w:t>
      </w:r>
      <w:r>
        <w:rPr>
          <w:rFonts w:hint="eastAsia" w:ascii="宋体" w:hAnsi="宋体" w:eastAsia="宋体" w:cs="宋体"/>
          <w:sz w:val="24"/>
          <w:highlight w:val="none"/>
        </w:rPr>
        <w:t xml:space="preserve">）。</w:t>
      </w:r>
      <w:r>
        <w:rPr>
          <w:rFonts w:hint="eastAsia" w:ascii="宋体" w:hAnsi="宋体" w:eastAsia="宋体" w:cs="宋体"/>
          <w:sz w:val="24"/>
          <w:highlight w:val="none"/>
        </w:rPr>
      </w:r>
      <w:r/>
    </w:p>
    <w:p>
      <w:pPr>
        <w:pBdr/>
        <w:spacing w:after="120" w:before="120"/>
        <w:ind w:firstLine="480"/>
        <w:rPr/>
      </w:pPr>
      <w:r>
        <w:rPr>
          <w:rFonts w:hint="eastAsia" w:ascii="宋体" w:hAnsi="宋体" w:eastAsia="宋体" w:cs="宋体"/>
          <w:sz w:val="24"/>
          <w:highlight w:val="none"/>
        </w:rPr>
        <w:t xml:space="preserve"> 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4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</w:rPr>
              <m:rPr>
                <m:sty m:val="i"/>
              </m:rPr>
              <m:t>I</m:t>
            </m:r>
          </m:e>
          <m:sub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</w:rPr>
              <m:rPr>
                <m:sty m:val="i"/>
              </m:rPr>
              <m:t>t</m:t>
            </m:r>
          </m:sub>
        </m:sSub>
      </m:oMath>
      <w:r>
        <w:rPr>
          <w:rFonts w:hint="eastAsia" w:ascii="宋体" w:hAnsi="宋体" w:eastAsia="宋体" w:cs="宋体"/>
          <w:sz w:val="24"/>
          <w:highlight w:val="none"/>
        </w:rPr>
        <w:t xml:space="preserve">: 第t周结束时的库存量（</w:t>
      </w:r>
      <w:r>
        <w:rPr>
          <w:rFonts w:hint="eastAsia" w:ascii="宋体" w:hAnsi="宋体" w:eastAsia="宋体" w:cs="宋体"/>
          <w:sz w:val="24"/>
          <w:highlight w:val="none"/>
        </w:rPr>
        <w:t xml:space="preserve">m</w:t>
      </w:r>
      <w:r>
        <w:rPr>
          <w:rFonts w:hint="eastAsia" w:ascii="宋体" w:hAnsi="宋体" w:eastAsia="宋体" w:cs="宋体"/>
          <w:sz w:val="24"/>
          <w:highlight w:val="none"/>
          <w:vertAlign w:val="superscript"/>
        </w:rPr>
        <w:t xml:space="preserve">3</w:t>
      </w:r>
      <w:r>
        <w:rPr>
          <w:rFonts w:hint="eastAsia" w:ascii="宋体" w:hAnsi="宋体" w:eastAsia="宋体" w:cs="宋体"/>
          <w:sz w:val="24"/>
          <w:highlight w:val="none"/>
        </w:rPr>
        <w:t xml:space="preserve">）。</w:t>
      </w:r>
      <w:r>
        <w:rPr>
          <w:rFonts w:hint="eastAsia" w:ascii="宋体" w:hAnsi="宋体" w:eastAsia="宋体" w:cs="宋体"/>
          <w:sz w:val="24"/>
          <w:highlight w:val="none"/>
        </w:rPr>
      </w:r>
      <w:r/>
    </w:p>
    <w:p>
      <w:pPr>
        <w:pBdr/>
        <w:spacing w:after="120" w:before="120"/>
        <w:ind w:firstLine="480"/>
        <w:rPr/>
      </w:pPr>
      <w:r>
        <w:rPr>
          <w:rFonts w:hint="eastAsia" w:ascii="宋体" w:hAnsi="宋体" w:eastAsia="宋体" w:cs="宋体"/>
          <w:sz w:val="24"/>
          <w:highlight w:val="none"/>
        </w:rPr>
        <w:t xml:space="preserve"> 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4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</w:rPr>
              <m:rPr>
                <m:sty m:val="i"/>
              </m:rPr>
              <m:t>Y</m:t>
            </m:r>
          </m:e>
          <m:sub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</w:rPr>
              <m:rPr>
                <m:sty m:val="i"/>
              </m:rPr>
              <m:t>it</m:t>
            </m:r>
          </m:sub>
        </m:sSub>
      </m:oMath>
      <w:r>
        <w:rPr>
          <w:rFonts w:hint="eastAsia" w:ascii="宋体" w:hAnsi="宋体" w:eastAsia="宋体" w:cs="宋体"/>
          <w:sz w:val="24"/>
          <w:highlight w:val="none"/>
        </w:rPr>
        <w:t xml:space="preserve">: 第i家供应商第t周的实际供货量（</w:t>
      </w:r>
      <w:r>
        <w:rPr>
          <w:rFonts w:hint="eastAsia" w:ascii="宋体" w:hAnsi="宋体" w:eastAsia="宋体" w:cs="宋体"/>
          <w:sz w:val="24"/>
          <w:highlight w:val="none"/>
        </w:rPr>
        <w:t xml:space="preserve">m</w:t>
      </w:r>
      <w:r>
        <w:rPr>
          <w:rFonts w:hint="eastAsia" w:ascii="宋体" w:hAnsi="宋体" w:eastAsia="宋体" w:cs="宋体"/>
          <w:sz w:val="24"/>
          <w:highlight w:val="none"/>
          <w:vertAlign w:val="superscript"/>
        </w:rPr>
        <w:t xml:space="preserve">3</w:t>
      </w:r>
      <w:r>
        <w:rPr>
          <w:rFonts w:hint="eastAsia" w:ascii="宋体" w:hAnsi="宋体" w:eastAsia="宋体" w:cs="宋体"/>
          <w:sz w:val="24"/>
          <w:highlight w:val="none"/>
        </w:rPr>
        <w:t xml:space="preserve">）。</w:t>
      </w:r>
      <w:r>
        <w:rPr>
          <w:rFonts w:hint="eastAsia" w:ascii="宋体" w:hAnsi="宋体" w:eastAsia="宋体" w:cs="宋体"/>
          <w:sz w:val="24"/>
          <w:highlight w:val="none"/>
        </w:rPr>
      </w:r>
      <w:r/>
    </w:p>
    <w:p>
      <w:pPr>
        <w:pBdr/>
        <w:spacing w:after="120" w:before="120"/>
        <w:ind w:firstLine="480"/>
        <w:rPr/>
      </w:pPr>
      <w:r>
        <w:rPr>
          <w:rFonts w:hint="eastAsia" w:ascii="宋体" w:hAnsi="宋体" w:eastAsia="宋体" w:cs="宋体"/>
          <w:sz w:val="24"/>
          <w:highlight w:val="none"/>
        </w:rPr>
        <w:t xml:space="preserve"> 7.1.2 目标函数</w:t>
      </w:r>
      <w:r>
        <w:rPr>
          <w:rFonts w:hint="eastAsia" w:ascii="宋体" w:hAnsi="宋体" w:eastAsia="宋体" w:cs="宋体"/>
          <w:sz w:val="24"/>
          <w:highlight w:val="none"/>
        </w:rPr>
      </w:r>
      <w:r/>
    </w:p>
    <w:p>
      <w:pPr>
        <w:pBdr/>
        <w:spacing w:after="120" w:before="120"/>
        <w:ind w:firstLine="480"/>
        <w:rPr/>
      </w:pPr>
      <w:r>
        <w:rPr>
          <w:rFonts w:hint="eastAsia" w:ascii="宋体" w:hAnsi="宋体" w:eastAsia="宋体" w:cs="宋体"/>
          <w:sz w:val="24"/>
          <w:highlight w:val="none"/>
        </w:rPr>
        <w:t xml:space="preserve">本模型采用加权法将多目标优化问题转化为单目标问题，综合考虑总成本和总损耗。</w:t>
      </w:r>
      <w:r>
        <w:rPr>
          <w:rFonts w:hint="eastAsia" w:ascii="宋体" w:hAnsi="宋体" w:eastAsia="宋体" w:cs="宋体"/>
          <w:sz w:val="24"/>
          <w:highlight w:val="none"/>
        </w:rPr>
      </w:r>
      <w:r/>
    </w:p>
    <w:p>
      <w:pPr>
        <w:pBdr/>
        <w:spacing w:after="120" w:before="120"/>
        <w:ind w:firstLine="480"/>
        <w:rPr/>
      </w:pPr>
      <w:r>
        <w:rPr>
          <w:rFonts w:hint="eastAsia" w:ascii="宋体" w:hAnsi="宋体" w:eastAsia="宋体" w:cs="宋体"/>
          <w:sz w:val="24"/>
          <w:highlight w:val="none"/>
        </w:rPr>
        <w:t xml:space="preserve">总成本：包括采购成本、运输成本和违约成本。</w:t>
      </w:r>
      <w:r>
        <w:rPr>
          <w:rFonts w:hint="eastAsia" w:ascii="宋体" w:hAnsi="宋体" w:eastAsia="宋体" w:cs="宋体"/>
          <w:sz w:val="24"/>
          <w:highlight w:val="none"/>
        </w:rPr>
      </w:r>
      <w:r/>
    </w:p>
    <w:p>
      <w:pPr>
        <w:pBdr/>
        <w:spacing w:after="120" w:before="120"/>
        <w:ind w:firstLine="480"/>
        <w:rPr/>
      </w:pPr>
      <w:r>
        <w:rPr>
          <w:rFonts w:hint="eastAsia" w:ascii="宋体" w:hAnsi="宋体" w:eastAsia="宋体" w:cs="宋体"/>
          <w:sz w:val="24"/>
          <w:highlight w:val="none"/>
        </w:rPr>
        <w:t xml:space="preserve">      采购成本：$\\sum\_{i,t} X\_{it} \\times C\_{it}^{purchase}$</w:t>
      </w:r>
      <w:r>
        <w:rPr>
          <w:rFonts w:hint="eastAsia" w:ascii="宋体" w:hAnsi="宋体" w:eastAsia="宋体" w:cs="宋体"/>
          <w:sz w:val="24"/>
          <w:highlight w:val="none"/>
        </w:rPr>
      </w:r>
      <w:r/>
    </w:p>
    <w:p>
      <w:pPr>
        <w:pBdr/>
        <w:spacing w:after="120" w:before="120"/>
        <w:ind w:firstLine="480"/>
        <w:rPr/>
      </w:pPr>
      <w:r>
        <w:rPr>
          <w:rFonts w:hint="eastAsia" w:ascii="宋体" w:hAnsi="宋体" w:eastAsia="宋体" w:cs="宋体"/>
          <w:sz w:val="24"/>
          <w:highlight w:val="none"/>
        </w:rPr>
        <w:t xml:space="preserve">      运输成本：$\\sum\_{i,t,k} W\_{itk} \\times C\_k^{transport}$</w:t>
      </w:r>
      <w:r>
        <w:rPr>
          <w:rFonts w:hint="eastAsia" w:ascii="宋体" w:hAnsi="宋体" w:eastAsia="宋体" w:cs="宋体"/>
          <w:sz w:val="24"/>
          <w:highlight w:val="none"/>
        </w:rPr>
      </w:r>
      <w:r/>
    </w:p>
    <w:p>
      <w:pPr>
        <w:pBdr/>
        <w:spacing w:after="120" w:before="120"/>
        <w:ind w:firstLine="480"/>
        <w:rPr/>
      </w:pPr>
      <w:r>
        <w:rPr>
          <w:rFonts w:hint="eastAsia" w:ascii="宋体" w:hAnsi="宋体" w:eastAsia="宋体" w:cs="宋体"/>
          <w:sz w:val="24"/>
          <w:highlight w:val="none"/>
        </w:rPr>
        <w:t xml:space="preserve">      违约成本：$\\sum\_{i,t} \\max(0, X\_{it} - Y\_{it}) \\times C\_{it}^{penalty}$</w:t>
      </w:r>
      <w:r>
        <w:rPr>
          <w:rFonts w:hint="eastAsia" w:ascii="宋体" w:hAnsi="宋体" w:eastAsia="宋体" w:cs="宋体"/>
          <w:sz w:val="24"/>
          <w:highlight w:val="none"/>
        </w:rPr>
      </w:r>
      <w:r/>
    </w:p>
    <w:p>
      <w:pPr>
        <w:pBdr/>
        <w:spacing w:after="120" w:before="120"/>
        <w:ind w:firstLine="480"/>
        <w:rPr/>
      </w:pPr>
      <w:r>
        <w:rPr>
          <w:rFonts w:hint="eastAsia" w:ascii="宋体" w:hAnsi="宋体" w:eastAsia="宋体" w:cs="宋体"/>
          <w:sz w:val="24"/>
          <w:highlight w:val="none"/>
        </w:rPr>
        <w:t xml:space="preserve">  总损耗：$\\sum\_{i,t,k} W\_{itk} \\times \\text{loss\_rate}\_{k,t}$</w:t>
      </w:r>
      <w:r>
        <w:rPr>
          <w:rFonts w:hint="eastAsia" w:ascii="宋体" w:hAnsi="宋体" w:eastAsia="宋体" w:cs="宋体"/>
          <w:sz w:val="24"/>
          <w:highlight w:val="none"/>
        </w:rPr>
      </w:r>
      <w:r/>
    </w:p>
    <w:p>
      <w:pPr>
        <w:pBdr/>
        <w:spacing w:after="120" w:before="120"/>
        <w:ind w:firstLine="480"/>
        <w:rPr/>
      </w:pPr>
      <w:r>
        <w:rPr>
          <w:rFonts w:hint="eastAsia" w:ascii="宋体" w:hAnsi="宋体" w:eastAsia="宋体" w:cs="宋体"/>
          <w:sz w:val="24"/>
          <w:highlight w:val="none"/>
        </w:rPr>
        <w:t xml:space="preserve">由于损耗直接转化为成本，因此将总损耗量乘以平均材料单价，纳入总成本考量。最终目标函数为：</w:t>
      </w:r>
      <w:r>
        <w:rPr>
          <w:rFonts w:hint="eastAsia" w:ascii="宋体" w:hAnsi="宋体" w:eastAsia="宋体" w:cs="宋体"/>
          <w:sz w:val="24"/>
          <w:highlight w:val="none"/>
        </w:rPr>
      </w:r>
      <w:r/>
    </w:p>
    <w:p>
      <w:pPr>
        <w:pBdr/>
        <w:spacing w:after="120" w:before="120"/>
        <w:ind w:firstLine="480"/>
        <w:rPr/>
      </w:pPr>
      <w:r>
        <w:rPr>
          <w:rFonts w:hint="eastAsia" w:ascii="宋体" w:hAnsi="宋体" w:eastAsia="宋体" w:cs="宋体"/>
          <w:sz w:val="24"/>
          <w:highlight w:val="none"/>
        </w:rPr>
        <w:t xml:space="preserve">最小化 $Z = \\text{总成本} + \\text{损耗折算成本}$</w:t>
      </w:r>
      <w:r>
        <w:rPr>
          <w:rFonts w:hint="eastAsia" w:ascii="宋体" w:hAnsi="宋体" w:eastAsia="宋体" w:cs="宋体"/>
          <w:sz w:val="24"/>
          <w:highlight w:val="none"/>
        </w:rPr>
      </w:r>
      <w:r/>
    </w:p>
    <w:p>
      <w:pPr>
        <w:pBdr/>
        <w:spacing w:after="120" w:before="120"/>
        <w:ind w:firstLine="480"/>
        <w:rPr/>
      </w:pPr>
      <w:r>
        <w:rPr>
          <w:rFonts w:hint="eastAsia" w:ascii="宋体" w:hAnsi="宋体" w:eastAsia="宋体" w:cs="宋体"/>
          <w:sz w:val="24"/>
          <w:highlight w:val="none"/>
        </w:rPr>
        <w:t xml:space="preserve">7.1.3 约束条件</w:t>
      </w:r>
      <w:r>
        <w:rPr>
          <w:rFonts w:hint="eastAsia" w:ascii="宋体" w:hAnsi="宋体" w:eastAsia="宋体" w:cs="宋体"/>
          <w:sz w:val="24"/>
          <w:highlight w:val="none"/>
        </w:rPr>
      </w:r>
      <w:r/>
    </w:p>
    <w:p>
      <w:pPr>
        <w:pBdr/>
        <w:spacing w:after="120" w:before="120"/>
        <w:ind w:firstLine="480"/>
        <w:rPr/>
      </w:pPr>
      <w:r>
        <w:rPr>
          <w:rFonts w:hint="eastAsia" w:ascii="宋体" w:hAnsi="宋体" w:eastAsia="宋体" w:cs="宋体"/>
          <w:sz w:val="24"/>
          <w:highlight w:val="none"/>
        </w:rPr>
        <w:t xml:space="preserve">1. 产能约束：每周的可用原材料总量必须满足生产所需。</w:t>
      </w:r>
      <w:r>
        <w:rPr>
          <w:rFonts w:hint="eastAsia" w:ascii="宋体" w:hAnsi="宋体" w:eastAsia="宋体" w:cs="宋体"/>
          <w:sz w:val="24"/>
          <w:highlight w:val="none"/>
        </w:rPr>
      </w:r>
      <w:r/>
    </w:p>
    <w:p>
      <w:pPr>
        <w:pBdr/>
        <w:spacing w:after="120" w:before="120"/>
        <w:ind w:firstLine="480"/>
        <w:rPr/>
      </w:pPr>
      <w:r>
        <w:rPr>
          <w:rFonts w:hint="eastAsia" w:ascii="宋体" w:hAnsi="宋体" w:eastAsia="宋体" w:cs="宋体"/>
          <w:sz w:val="24"/>
          <w:highlight w:val="none"/>
        </w:rPr>
        <w:t xml:space="preserve">      * $I\_{t-1} + \\sum\_{i} Y\_{it} - \\text{损耗量}\_{t} \\geq 2.82 \\times 10^4 \\times \\text{材料系数}$</w:t>
      </w:r>
      <w:r>
        <w:rPr>
          <w:rFonts w:hint="eastAsia" w:ascii="宋体" w:hAnsi="宋体" w:eastAsia="宋体" w:cs="宋体"/>
          <w:sz w:val="24"/>
          <w:highlight w:val="none"/>
        </w:rPr>
      </w:r>
      <w:r/>
    </w:p>
    <w:p>
      <w:pPr>
        <w:pBdr/>
        <w:spacing w:after="120" w:before="120"/>
        <w:ind w:firstLine="480"/>
        <w:rPr/>
      </w:pPr>
      <w:r>
        <w:rPr>
          <w:rFonts w:hint="eastAsia" w:ascii="宋体" w:hAnsi="宋体" w:eastAsia="宋体" w:cs="宋体"/>
          <w:sz w:val="24"/>
          <w:highlight w:val="none"/>
        </w:rPr>
        <w:t xml:space="preserve">2. 库存约束：任何时刻的库存都应能满足未来两周的生产需求。</w:t>
      </w:r>
      <w:r>
        <w:rPr>
          <w:rFonts w:hint="eastAsia" w:ascii="宋体" w:hAnsi="宋体" w:eastAsia="宋体" w:cs="宋体"/>
          <w:sz w:val="24"/>
          <w:highlight w:val="none"/>
        </w:rPr>
      </w:r>
      <w:r/>
    </w:p>
    <w:p>
      <w:pPr>
        <w:pBdr/>
        <w:spacing w:after="120" w:before="120"/>
        <w:ind w:firstLine="480"/>
        <w:rPr/>
      </w:pPr>
      <w:r>
        <w:rPr>
          <w:rFonts w:hint="eastAsia" w:ascii="宋体" w:hAnsi="宋体" w:eastAsia="宋体" w:cs="宋体"/>
          <w:sz w:val="24"/>
          <w:highlight w:val="none"/>
        </w:rPr>
        <w:t xml:space="preserve">      * $I\_{t} \\geq 2 \\times \\text{周平均产能需求}$</w:t>
      </w:r>
      <w:r>
        <w:rPr>
          <w:rFonts w:hint="eastAsia" w:ascii="宋体" w:hAnsi="宋体" w:eastAsia="宋体" w:cs="宋体"/>
          <w:sz w:val="24"/>
          <w:highlight w:val="none"/>
        </w:rPr>
      </w:r>
      <w:r/>
    </w:p>
    <w:p>
      <w:pPr>
        <w:pBdr/>
        <w:spacing w:after="120" w:before="120"/>
        <w:ind w:firstLine="480"/>
        <w:rPr/>
      </w:pPr>
      <w:r>
        <w:rPr>
          <w:rFonts w:hint="eastAsia" w:ascii="宋体" w:hAnsi="宋体" w:eastAsia="宋体" w:cs="宋体"/>
          <w:sz w:val="24"/>
          <w:highlight w:val="none"/>
        </w:rPr>
        <w:t xml:space="preserve">3. 供货量与订购量关系：供货量是订购量与供货率的函数。</w:t>
      </w:r>
      <w:r>
        <w:rPr>
          <w:rFonts w:hint="eastAsia" w:ascii="宋体" w:hAnsi="宋体" w:eastAsia="宋体" w:cs="宋体"/>
          <w:sz w:val="24"/>
          <w:highlight w:val="none"/>
        </w:rPr>
      </w:r>
      <w:r/>
    </w:p>
    <w:p>
      <w:pPr>
        <w:pBdr/>
        <w:spacing w:after="120" w:before="120"/>
        <w:ind w:firstLine="480"/>
        <w:rPr/>
      </w:pPr>
      <w:r>
        <w:rPr>
          <w:rFonts w:hint="eastAsia" w:ascii="宋体" w:hAnsi="宋体" w:eastAsia="宋体" w:cs="宋体"/>
          <w:sz w:val="24"/>
          <w:highlight w:val="none"/>
        </w:rPr>
        <w:t xml:space="preserve">      * $Y\_{it} = X\_{it} \\times \\text{供货率}\_{i}$</w:t>
      </w:r>
      <w:r>
        <w:rPr>
          <w:rFonts w:hint="eastAsia" w:ascii="宋体" w:hAnsi="宋体" w:eastAsia="宋体" w:cs="宋体"/>
          <w:sz w:val="24"/>
          <w:highlight w:val="none"/>
        </w:rPr>
      </w:r>
      <w:r/>
    </w:p>
    <w:p>
      <w:pPr>
        <w:pBdr/>
        <w:spacing w:after="120" w:before="120"/>
        <w:ind w:firstLine="480"/>
        <w:rPr/>
      </w:pPr>
      <w:r>
        <w:rPr>
          <w:rFonts w:hint="eastAsia" w:ascii="宋体" w:hAnsi="宋体" w:eastAsia="宋体" w:cs="宋体"/>
          <w:sz w:val="24"/>
          <w:highlight w:val="none"/>
        </w:rPr>
        <w:t xml:space="preserve">4. 转运商能力约束：每家转运商每周的转运总量不能超过其最大运力（6000 </w:t>
      </w:r>
      <w:r>
        <w:rPr>
          <w:rFonts w:hint="eastAsia" w:ascii="宋体" w:hAnsi="宋体" w:eastAsia="宋体" w:cs="宋体"/>
          <w:sz w:val="24"/>
          <w:highlight w:val="none"/>
        </w:rPr>
        <w:t xml:space="preserve">m</w:t>
      </w:r>
      <w:r>
        <w:rPr>
          <w:rFonts w:hint="eastAsia" w:ascii="宋体" w:hAnsi="宋体" w:eastAsia="宋体" w:cs="宋体"/>
          <w:sz w:val="24"/>
          <w:highlight w:val="none"/>
          <w:vertAlign w:val="superscript"/>
        </w:rPr>
        <w:t xml:space="preserve">3</w:t>
      </w:r>
      <w:r>
        <w:rPr>
          <w:rFonts w:hint="eastAsia" w:ascii="宋体" w:hAnsi="宋体" w:eastAsia="宋体" w:cs="宋体"/>
          <w:sz w:val="24"/>
          <w:highlight w:val="none"/>
        </w:rPr>
        <w:t xml:space="preserve">周）。</w:t>
      </w:r>
      <w:r>
        <w:rPr>
          <w:rFonts w:hint="eastAsia" w:ascii="宋体" w:hAnsi="宋体" w:eastAsia="宋体" w:cs="宋体"/>
          <w:sz w:val="24"/>
          <w:highlight w:val="none"/>
        </w:rPr>
      </w:r>
      <w:r/>
    </w:p>
    <w:p>
      <w:pPr>
        <w:pBdr/>
        <w:spacing w:after="120" w:before="120"/>
        <w:ind w:firstLine="480"/>
        <w:rPr/>
      </w:pPr>
      <w:r>
        <w:rPr>
          <w:rFonts w:hint="eastAsia" w:ascii="宋体" w:hAnsi="宋体" w:eastAsia="宋体" w:cs="宋体"/>
          <w:sz w:val="24"/>
          <w:highlight w:val="none"/>
        </w:rPr>
        <w:t xml:space="preserve">      * $\\sum\_{i} W\_{itk} \\leq 6000$</w:t>
      </w:r>
      <w:r>
        <w:rPr>
          <w:rFonts w:hint="eastAsia" w:ascii="宋体" w:hAnsi="宋体" w:eastAsia="宋体" w:cs="宋体"/>
          <w:sz w:val="24"/>
          <w:highlight w:val="none"/>
        </w:rPr>
      </w:r>
      <w:r/>
    </w:p>
    <w:p>
      <w:pPr>
        <w:pBdr/>
        <w:spacing w:after="120" w:before="120"/>
        <w:ind w:firstLine="480"/>
        <w:rPr/>
      </w:pPr>
      <w:r>
        <w:rPr>
          <w:rFonts w:hint="eastAsia" w:ascii="宋体" w:hAnsi="宋体" w:eastAsia="宋体" w:cs="宋体"/>
          <w:sz w:val="24"/>
          <w:highlight w:val="none"/>
        </w:rPr>
        <w:t xml:space="preserve">5. 供应商选择约束：选择的供应商数量应为最少。</w:t>
      </w:r>
      <w:r>
        <w:rPr>
          <w:rFonts w:hint="eastAsia" w:ascii="宋体" w:hAnsi="宋体" w:eastAsia="宋体" w:cs="宋体"/>
          <w:sz w:val="24"/>
          <w:highlight w:val="none"/>
        </w:rPr>
      </w:r>
      <w:r/>
    </w:p>
    <w:p>
      <w:pPr>
        <w:pBdr/>
        <w:spacing w:after="120" w:before="120"/>
        <w:ind w:firstLine="480"/>
        <w:rPr/>
      </w:pPr>
      <w:r>
        <w:rPr>
          <w:rFonts w:hint="eastAsia" w:ascii="宋体" w:hAnsi="宋体" w:eastAsia="宋体" w:cs="宋体"/>
          <w:sz w:val="24"/>
          <w:highlight w:val="none"/>
        </w:rPr>
        <w:t xml:space="preserve">      通过引入二元变量$Z\_i$（1代表选择该供应商，0代表不选择），最小化 $\\sum\_i Z\_i$。</w:t>
      </w:r>
      <w:r>
        <w:rPr>
          <w:rFonts w:hint="eastAsia" w:ascii="宋体" w:hAnsi="宋体" w:eastAsia="宋体" w:cs="宋体"/>
          <w:sz w:val="24"/>
          <w:highlight w:val="none"/>
        </w:rPr>
      </w:r>
      <w:r/>
    </w:p>
    <w:p>
      <w:pPr>
        <w:pBdr/>
        <w:spacing w:after="120" w:before="120"/>
        <w:ind w:firstLine="480"/>
        <w:rPr/>
      </w:pPr>
      <w:r>
        <w:rPr>
          <w:rFonts w:hint="eastAsia" w:ascii="宋体" w:hAnsi="宋体" w:eastAsia="宋体" w:cs="宋体"/>
          <w:sz w:val="24"/>
          <w:highlight w:val="none"/>
        </w:rPr>
        <w:t xml:space="preserve"> 7.2 求解与分析</w:t>
      </w:r>
      <w:r>
        <w:rPr>
          <w:rFonts w:hint="eastAsia" w:ascii="宋体" w:hAnsi="宋体" w:eastAsia="宋体" w:cs="宋体"/>
          <w:sz w:val="24"/>
          <w:highlight w:val="none"/>
        </w:rPr>
      </w:r>
      <w:r/>
    </w:p>
    <w:p>
      <w:pPr>
        <w:pBdr/>
        <w:spacing w:after="120" w:before="120"/>
        <w:ind w:firstLine="480"/>
        <w:rPr/>
      </w:pPr>
      <w:r>
        <w:rPr>
          <w:rFonts w:hint="eastAsia" w:ascii="宋体" w:hAnsi="宋体" w:eastAsia="宋体" w:cs="宋体"/>
          <w:sz w:val="24"/>
          <w:highlight w:val="none"/>
        </w:rPr>
        <w:t xml:space="preserve">我们使用Julia语言结合JuMP和GLPK求解器对模型进行求解。通过迭代的方式，我们首先确定了满足生产需求的最少供应商数量为50家。基于这50 家供应商，我们进一步求解了最优的订购和转运方案。</w:t>
      </w:r>
      <w:r>
        <w:rPr>
          <w:rFonts w:hint="eastAsia" w:ascii="宋体" w:hAnsi="宋体" w:eastAsia="宋体" w:cs="宋体"/>
          <w:sz w:val="24"/>
          <w:highlight w:val="none"/>
        </w:rPr>
      </w:r>
      <w:r/>
    </w:p>
    <w:p>
      <w:pPr>
        <w:pBdr/>
        <w:spacing w:after="120" w:before="120"/>
        <w:ind w:firstLine="480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highlight w:val="none"/>
        </w:rPr>
        <w:t xml:space="preserve">7.2.1 生产保障效果</w:t>
      </w:r>
      <w:r/>
    </w:p>
    <w:p>
      <w:pPr>
        <w:pBdr/>
        <w:spacing w:after="120" w:before="120"/>
        <w:ind w:firstLine="420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highlight w:val="none"/>
        </w:rPr>
      </w:r>
      <w:r>
        <w:rPr>
          <w:rFonts w:hint="eastAsia" w:ascii="宋体" w:hAnsi="宋体" w:eastAsia="宋体" w:cs="宋体"/>
          <w:sz w:val="24"/>
          <w:highlight w:val="none"/>
        </w:rPr>
        <w:t xml:space="preserve">我们验证了优化方案在生产保障方面的表现，具体结果如下：</w:t>
      </w:r>
      <w:r>
        <w:rPr>
          <w:rFonts w:hint="eastAsia" w:ascii="宋体" w:hAnsi="宋体" w:eastAsia="宋体" w:cs="宋体"/>
          <w:sz w:val="24"/>
          <w:szCs w:val="24"/>
          <w:highlight w:val="none"/>
        </w:rPr>
      </w:r>
    </w:p>
    <w:p>
      <w:pPr>
        <w:pBdr/>
        <w:spacing w:after="120" w:before="120"/>
        <w:ind w:firstLine="420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3516206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25572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274309" cy="35162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15.30pt;height:276.87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highlight w:val="none"/>
        </w:rPr>
      </w:r>
      <w:r>
        <w:rPr>
          <w:rFonts w:hint="eastAsia" w:ascii="宋体" w:hAnsi="宋体" w:eastAsia="宋体" w:cs="宋体"/>
          <w:sz w:val="24"/>
          <w:highlight w:val="none"/>
        </w:rPr>
      </w:r>
    </w:p>
    <w:p>
      <w:pPr>
        <w:pBdr/>
        <w:spacing w:after="120" w:before="120"/>
        <w:ind w:firstLine="420"/>
        <w:rPr/>
      </w:pPr>
      <w:r>
        <w:rPr>
          <w:rFonts w:hint="eastAsia" w:ascii="宋体" w:hAnsi="宋体" w:eastAsia="宋体" w:cs="宋体"/>
          <w:sz w:val="24"/>
          <w:highlight w:val="none"/>
        </w:rPr>
        <w:t xml:space="preserve">库存走势：如上图所示，在24周的计划期内，库存量始终保持在满足两周生产需求的底线（约9.4万</w:t>
      </w:r>
      <w:r>
        <w:rPr>
          <w:rFonts w:hint="eastAsia" w:ascii="宋体" w:hAnsi="宋体" w:eastAsia="宋体" w:cs="宋体"/>
          <w:sz w:val="24"/>
          <w:highlight w:val="none"/>
        </w:rPr>
        <w:t xml:space="preserve">m</w:t>
      </w:r>
      <w:r>
        <w:rPr>
          <w:rFonts w:hint="eastAsia" w:ascii="宋体" w:hAnsi="宋体" w:eastAsia="宋体" w:cs="宋体"/>
          <w:sz w:val="24"/>
          <w:highlight w:val="none"/>
          <w:vertAlign w:val="superscript"/>
        </w:rPr>
        <w:t xml:space="preserve">3</w:t>
      </w:r>
      <w:r>
        <w:rPr>
          <w:rFonts w:hint="eastAsia" w:ascii="宋体" w:hAnsi="宋体" w:eastAsia="宋体" w:cs="宋体"/>
          <w:sz w:val="24"/>
          <w:highlight w:val="none"/>
        </w:rPr>
        <w:t xml:space="preserve">）之上。这表明模型成功地通过调整订购量，有效应对了供货不确定性，避免了生产中断风险。</w:t>
      </w:r>
      <w:r>
        <w:rPr>
          <w:rFonts w:hint="eastAsia" w:ascii="宋体" w:hAnsi="宋体" w:eastAsia="宋体" w:cs="宋体"/>
          <w:sz w:val="24"/>
          <w:highlight w:val="none"/>
        </w:rPr>
      </w:r>
      <w:r/>
    </w:p>
    <w:p>
      <w:pPr>
        <w:pBdr/>
        <w:spacing w:after="120" w:before="120"/>
        <w:ind w:firstLine="420"/>
        <w:rPr/>
      </w:pPr>
      <w:r>
        <w:rPr>
          <w:rFonts w:hint="eastAsia" w:ascii="宋体" w:hAnsi="宋体" w:eastAsia="宋体" w:cs="宋体"/>
          <w:sz w:val="24"/>
          <w:highlight w:val="none"/>
        </w:rPr>
        <w:t xml:space="preserve">产能达标率：根据方案，24周中每一周的实际可生产产品量均达到或超过2.82万m</w:t>
      </w:r>
      <w:r>
        <w:rPr>
          <w:rFonts w:hint="eastAsia" w:ascii="宋体" w:hAnsi="宋体" w:eastAsia="宋体" w:cs="宋体"/>
          <w:sz w:val="24"/>
          <w:highlight w:val="none"/>
          <w:vertAlign w:val="superscript"/>
        </w:rPr>
        <w:t xml:space="preserve">3</w:t>
      </w:r>
      <w:r>
        <w:rPr>
          <w:rFonts w:hint="eastAsia" w:ascii="宋体" w:hAnsi="宋体" w:eastAsia="宋体" w:cs="宋体"/>
          <w:sz w:val="24"/>
          <w:highlight w:val="none"/>
        </w:rPr>
        <w:t xml:space="preserve">的产能要求，产能达标率为100%。这远高于问题要求中“&gt;=95%”的门槛。</w:t>
      </w:r>
      <w:r>
        <w:rPr>
          <w:rFonts w:hint="eastAsia" w:ascii="宋体" w:hAnsi="宋体" w:eastAsia="宋体" w:cs="宋体"/>
          <w:sz w:val="24"/>
          <w:highlight w:val="none"/>
        </w:rPr>
      </w:r>
      <w:r/>
    </w:p>
    <w:p>
      <w:pPr>
        <w:pBdr/>
        <w:spacing w:after="120" w:before="120"/>
        <w:ind w:firstLine="420"/>
        <w:rPr/>
      </w:pPr>
      <w:r>
        <w:rPr>
          <w:rFonts w:hint="eastAsia" w:ascii="宋体" w:hAnsi="宋体" w:eastAsia="宋体" w:cs="宋体"/>
          <w:sz w:val="24"/>
          <w:highlight w:val="none"/>
        </w:rPr>
        <w:t xml:space="preserve">库存达标率：在整个计划期内，所有24周的周末库存均高于下周初的库存底线，库存达标率为100%。这充分证明了方案的鲁棒性和可靠性。</w:t>
      </w:r>
      <w:r>
        <w:rPr>
          <w:rFonts w:hint="eastAsia" w:ascii="宋体" w:hAnsi="宋体" w:eastAsia="宋体" w:cs="宋体"/>
          <w:sz w:val="24"/>
          <w:highlight w:val="none"/>
        </w:rPr>
      </w:r>
      <w:r/>
    </w:p>
    <w:p>
      <w:pPr>
        <w:pBdr/>
        <w:spacing w:after="120" w:before="120"/>
        <w:ind w:firstLine="480"/>
        <w:rPr/>
      </w:pPr>
      <w:r>
        <w:rPr>
          <w:rFonts w:hint="eastAsia" w:ascii="宋体" w:hAnsi="宋体" w:eastAsia="宋体" w:cs="宋体"/>
          <w:sz w:val="24"/>
          <w:highlight w:val="none"/>
        </w:rPr>
        <w:t xml:space="preserve">7.2.2 成本与损耗优化效果</w:t>
      </w:r>
      <w:r>
        <w:rPr>
          <w:rFonts w:hint="eastAsia" w:ascii="宋体" w:hAnsi="宋体" w:eastAsia="宋体" w:cs="宋体"/>
          <w:sz w:val="24"/>
          <w:highlight w:val="none"/>
        </w:rPr>
      </w:r>
      <w:r/>
    </w:p>
    <w:p>
      <w:pPr>
        <w:pBdr/>
        <w:spacing w:after="120" w:before="120"/>
        <w:ind w:firstLine="480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highlight w:val="none"/>
        </w:rPr>
        <w:t xml:space="preserve">本方案在成本和损耗控制方面取得了显著成效：</w:t>
      </w:r>
      <w:r/>
    </w:p>
    <w:p>
      <w:pPr>
        <w:pBdr/>
        <w:spacing w:after="120" w:before="120"/>
        <w:ind w:firstLine="480"/>
        <w:rPr/>
      </w:pPr>
      <w:r>
        <w:rPr>
          <w:rFonts w:hint="eastAsia" w:ascii="宋体" w:hAnsi="宋体" w:eastAsia="宋体" w:cs="宋体"/>
          <w:sz w:val="24"/>
          <w:highlight w:val="none"/>
        </w:rPr>
      </w:r>
      <w:r>
        <w:rPr>
          <w:rFonts w:hint="eastAsia" w:ascii="宋体" w:hAnsi="宋体" w:eastAsia="宋体" w:cs="宋体"/>
          <w:sz w:val="24"/>
          <w:highlight w:val="none"/>
        </w:rPr>
        <w:t xml:space="preserve">成本分析：</w:t>
      </w:r>
      <w:r/>
      <w:r/>
    </w:p>
    <w:p>
      <w:pPr>
        <w:pBdr/>
        <w:spacing w:after="120" w:before="120"/>
        <w:ind w:firstLine="480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highlight w:val="none"/>
        </w:rPr>
      </w:r>
      <w:r>
        <w:rPr>
          <w:rFonts w:hint="eastAsia" w:ascii="宋体" w:hAnsi="宋体" w:eastAsia="宋体" w:cs="宋体"/>
          <w:sz w:val="24"/>
          <w:highlight w:val="none"/>
        </w:rPr>
        <w:t xml:space="preserve">通过筛选并仅使用50家供应商，我们大幅降低了供应商管理成本；</w:t>
      </w:r>
      <w:r>
        <w:rPr>
          <w:rFonts w:hint="eastAsia" w:ascii="宋体" w:hAnsi="宋体" w:eastAsia="宋体" w:cs="宋体"/>
          <w:sz w:val="24"/>
          <w:highlight w:val="none"/>
        </w:rPr>
        <w:t xml:space="preserve">方案优先向成本更低、供货更稳定的C类供应商倾斜，如上图所示，C类供应商在总订购量中占据了主导地位。这有效降低了原材料的平均采购成本。</w:t>
      </w:r>
      <w:r>
        <w:rPr>
          <w:rFonts w:hint="eastAsia" w:ascii="宋体" w:hAnsi="宋体" w:eastAsia="宋体" w:cs="宋体"/>
          <w:sz w:val="24"/>
          <w:highlight w:val="none"/>
        </w:rPr>
      </w:r>
      <w:r>
        <w:rPr>
          <w:rFonts w:hint="eastAsia" w:ascii="宋体" w:hAnsi="宋体" w:eastAsia="宋体" w:cs="宋体"/>
          <w:sz w:val="24"/>
          <w:szCs w:val="24"/>
          <w:highlight w:val="none"/>
        </w:rPr>
      </w:r>
    </w:p>
    <w:p>
      <w:pPr>
        <w:pBdr/>
        <w:spacing w:after="120" w:before="120"/>
        <w:ind w:firstLine="480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highlight w:val="none"/>
        </w:rPr>
        <w:t xml:space="preserve">损耗分析：</w:t>
      </w:r>
      <w:r>
        <w:rPr>
          <w:rFonts w:hint="eastAsia" w:ascii="宋体" w:hAnsi="宋体" w:eastAsia="宋体" w:cs="宋体"/>
          <w:sz w:val="24"/>
          <w:highlight w:val="none"/>
        </w:rPr>
      </w:r>
      <w:r>
        <w:rPr>
          <w:rFonts w:hint="eastAsia" w:ascii="宋体" w:hAnsi="宋体" w:eastAsia="宋体" w:cs="宋体"/>
          <w:sz w:val="24"/>
          <w:szCs w:val="24"/>
          <w:highlight w:val="none"/>
        </w:rPr>
      </w:r>
    </w:p>
    <w:p>
      <w:pPr>
        <w:pBdr/>
        <w:spacing w:after="120" w:before="120"/>
        <w:ind w:firstLine="480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highlight w:val="none"/>
        </w:rPr>
      </w:r>
      <w:r>
        <w:rPr>
          <w:rFonts w:hint="eastAsia" w:ascii="宋体" w:hAnsi="宋体" w:eastAsia="宋体" w:cs="宋体"/>
          <w:sz w:val="24"/>
          <w:highlight w:val="none"/>
        </w:rPr>
        <w:t xml:space="preserve">总损耗率：通过模型优化，最终方案的总损耗率为1.15%。</w:t>
      </w:r>
      <w:r>
        <w:rPr>
          <w:rFonts w:hint="eastAsia" w:ascii="宋体" w:hAnsi="宋体" w:eastAsia="宋体" w:cs="宋体"/>
          <w:sz w:val="24"/>
          <w:highlight w:val="none"/>
        </w:rPr>
        <w:t xml:space="preserve">相比</w:t>
      </w:r>
      <w:r>
        <w:rPr>
          <w:rFonts w:hint="eastAsia" w:ascii="宋体" w:hAnsi="宋体" w:eastAsia="宋体" w:cs="宋体"/>
          <w:sz w:val="24"/>
          <w:highlight w:val="none"/>
        </w:rPr>
        <w:t xml:space="preserve">总损耗率为1.62%</w:t>
      </w:r>
      <w:r>
        <w:rPr>
          <w:rFonts w:hint="eastAsia" w:ascii="宋体" w:hAnsi="宋体" w:eastAsia="宋体" w:cs="宋体"/>
          <w:sz w:val="24"/>
          <w:highlight w:val="none"/>
        </w:rPr>
        <w:t xml:space="preserve">的</w:t>
      </w:r>
      <w:r>
        <w:rPr>
          <w:rFonts w:hint="eastAsia" w:ascii="宋体" w:hAnsi="宋体" w:eastAsia="宋体" w:cs="宋体"/>
          <w:sz w:val="24"/>
          <w:highlight w:val="none"/>
        </w:rPr>
        <w:t xml:space="preserve">随机分配转运商的基准情况，本方案通过优先使用损耗率更低的转运商，使得总损耗降低了29%。</w:t>
      </w:r>
      <w:r>
        <w:rPr>
          <w:rFonts w:hint="eastAsia" w:ascii="宋体" w:hAnsi="宋体" w:eastAsia="宋体" w:cs="宋体"/>
          <w:sz w:val="24"/>
          <w:highlight w:val="none"/>
        </w:rPr>
        <w:t xml:space="preserve">直接降低了企业的运营成本。</w:t>
      </w:r>
      <w:r>
        <w:rPr>
          <w:rFonts w:hint="eastAsia" w:ascii="宋体" w:hAnsi="宋体" w:eastAsia="宋体" w:cs="宋体"/>
          <w:sz w:val="24"/>
          <w:highlight w:val="none"/>
        </w:rPr>
      </w:r>
      <w:r>
        <w:rPr>
          <w:rFonts w:hint="eastAsia" w:ascii="宋体" w:hAnsi="宋体" w:eastAsia="宋体" w:cs="宋体"/>
          <w:sz w:val="24"/>
          <w:szCs w:val="24"/>
          <w:highlight w:val="none"/>
        </w:rPr>
      </w:r>
      <w:r>
        <w:rPr>
          <w:rFonts w:hint="eastAsia" w:ascii="宋体" w:hAnsi="宋体" w:eastAsia="宋体" w:cs="宋体"/>
          <w:sz w:val="24"/>
          <w:szCs w:val="24"/>
          <w:highlight w:val="none"/>
        </w:rPr>
      </w:r>
    </w:p>
    <w:p>
      <w:pPr>
        <w:pBdr/>
        <w:spacing w:after="120" w:before="120"/>
        <w:ind w:firstLine="480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3516206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24391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274309" cy="35162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15.30pt;height:276.87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  <w:highlight w:val="none"/>
        </w:rPr>
      </w:r>
      <w:r>
        <w:rPr>
          <w:rFonts w:hint="eastAsia" w:ascii="宋体" w:hAnsi="宋体" w:eastAsia="宋体" w:cs="宋体"/>
          <w:sz w:val="24"/>
          <w:szCs w:val="24"/>
          <w:highlight w:val="none"/>
        </w:rPr>
      </w:r>
    </w:p>
    <w:p>
      <w:pPr>
        <w:pBdr/>
        <w:spacing w:after="120" w:before="120"/>
        <w:ind w:firstLine="480"/>
        <w:rPr/>
      </w:pPr>
      <w:r>
        <w:rPr>
          <w:rFonts w:hint="eastAsia" w:ascii="宋体" w:hAnsi="宋体" w:eastAsia="宋体" w:cs="宋体"/>
          <w:sz w:val="24"/>
          <w:highlight w:val="none"/>
        </w:rPr>
        <w:t xml:space="preserve">转运商分配：如上图所示，方案优先将大量的转运任务分配给了损耗率较低的转运商，其中T2、T6和T8三家转运商承担了绝大多数的转运量。这与模型最小化总损耗的目标相符，也说明了模型在转运决策上的有效性。</w:t>
      </w:r>
      <w:r>
        <w:rPr>
          <w:rFonts w:hint="eastAsia" w:ascii="宋体" w:hAnsi="宋体" w:eastAsia="宋体" w:cs="宋体"/>
          <w:sz w:val="24"/>
          <w:highlight w:val="none"/>
        </w:rPr>
      </w:r>
      <w:r/>
    </w:p>
    <w:p>
      <w:pPr>
        <w:pBdr/>
        <w:spacing w:after="120" w:before="120"/>
        <w:ind w:firstLine="480"/>
        <w:rPr/>
      </w:pPr>
      <w:r>
        <w:rPr>
          <w:rFonts w:hint="eastAsia" w:ascii="宋体" w:hAnsi="宋体" w:eastAsia="宋体" w:cs="宋体"/>
          <w:sz w:val="24"/>
          <w:highlight w:val="none"/>
        </w:rPr>
        <w:t xml:space="preserve">7.3 结论</w:t>
      </w:r>
      <w:r>
        <w:rPr>
          <w:rFonts w:hint="eastAsia" w:ascii="宋体" w:hAnsi="宋体" w:eastAsia="宋体" w:cs="宋体"/>
          <w:sz w:val="24"/>
          <w:highlight w:val="none"/>
        </w:rPr>
      </w:r>
      <w:r/>
    </w:p>
    <w:p>
      <w:pPr>
        <w:pBdr/>
        <w:spacing w:after="120" w:before="120"/>
        <w:ind w:firstLine="48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highlight w:val="none"/>
        </w:rPr>
        <w:t xml:space="preserve">综上所述，本模型成功地解决了问题二中的多目标优化问题。通过量化分析，我们不仅验证了方案在生产保障、成本控制和损耗优化方面的显著效果，也为企业提供了具体可行的24周订购和转运计划，具备极强的实用价值。</w:t>
      </w:r>
      <w:r>
        <w:rPr>
          <w:rFonts w:hint="eastAsia" w:ascii="宋体" w:hAnsi="宋体" w:eastAsia="宋体" w:cs="宋体"/>
          <w:sz w:val="24"/>
          <w:highlight w:val="none"/>
        </w:rPr>
      </w:r>
      <w:r>
        <w:rPr>
          <w:rFonts w:hint="eastAsia" w:ascii="宋体" w:hAnsi="宋体" w:eastAsia="宋体" w:cs="宋体"/>
          <w:sz w:val="24"/>
          <w:szCs w:val="24"/>
        </w:rPr>
      </w:r>
    </w:p>
    <w:sectPr>
      <w:footnotePr/>
      <w:endnotePr/>
      <w:type w:val="nextPage"/>
      <w:pgSz w:h="16838" w:orient="portrait" w:w="11906"/>
      <w:pgMar w:top="1440" w:right="1800" w:bottom="1440" w:left="180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Segoe UI">
    <w:panose1 w:val="020B0502040204020203"/>
  </w:font>
  <w:font w:name="宋体">
    <w:panose1 w:val="02010600040101010101"/>
  </w:font>
  <w:font w:name="黑体">
    <w:panose1 w:val="02010600040101010101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D2DB0DA"/>
    <w:lvl w:ilvl="0">
      <w:isLgl w:val="false"/>
      <w:lvlJc w:val="left"/>
      <w:lvlText w:val="%1、"/>
      <w:numFmt w:val="chineseCounting"/>
      <w:pPr>
        <w:pBdr/>
        <w:spacing/>
        <w:ind/>
      </w:pPr>
      <w:rPr>
        <w:rFonts w:hint="eastAsia"/>
      </w:rPr>
      <w:start w:val="5"/>
      <w:suff w:val="nothing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doNotExpandShiftReturn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3">
    <w:name w:val="Table Grid Light"/>
    <w:basedOn w:val="8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1"/>
    <w:basedOn w:val="8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2"/>
    <w:basedOn w:val="8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3f4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3f4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3f4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3f4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1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be4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be4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77fcf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2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3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3bb02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4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5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6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3f4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bbfe7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bbfe7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874cb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874cb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874cb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874cb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ce6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6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6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e822f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e822f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e822f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e822f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ff2c9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ee28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ee28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f2ba02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f2ba02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f2ba02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f2ba02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3f2d8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0e1a8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0e1a8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75bd4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75bd4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75bd4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75bd4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3f4f1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9ce6e0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9ce6e0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adade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3adb5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3adb5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3f4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3f4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25db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25db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25db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25db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c6211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c6211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c6211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c6211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e6d01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e6d01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8e6d01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e6d01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9a3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9a3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09a3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9a3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706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706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1c706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706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706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706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1c706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706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25db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3f4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3f4" w:themeFill="accent1" w:themeFillTint="34"/>
        <w:tcBorders/>
      </w:tcPr>
    </w:tblStylePr>
    <w:tblStylePr w:type="band2Horz">
      <w:rPr>
        <w:rFonts w:ascii="Arial" w:hAnsi="Arial"/>
        <w:color w:val="325db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25db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25db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25db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25db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2Horz">
      <w:rPr>
        <w:rFonts w:ascii="Arial" w:hAnsi="Arial"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c6211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8e6d0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2Horz">
      <w:rPr>
        <w:rFonts w:ascii="Arial" w:hAnsi="Arial"/>
        <w:color w:val="8e6d01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e6d01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8e6d0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e6d0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8e6d0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2Horz">
      <w:rPr>
        <w:rFonts w:ascii="Arial" w:hAnsi="Arial"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9a3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1c706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2Horz">
      <w:rPr>
        <w:rFonts w:ascii="Arial" w:hAnsi="Arial"/>
        <w:color w:val="1c706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706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1c706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706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706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9c1726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2Horz">
      <w:rPr>
        <w:rFonts w:ascii="Arial" w:hAnsi="Arial"/>
        <w:color w:val="9c1726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1726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9c1726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1726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1726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1dc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1dc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be0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be0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eefbd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eefbd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ceed0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ceed0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9f1ee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9f1ee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8d2d7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8d2d7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1dc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1dc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be0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be0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eefbd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eefbd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ceed0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ceed0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9f1ee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9f1ee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8d2d7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8d2d7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874cb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ed962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7dded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0949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1dc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1dc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874cb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be0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be0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e822f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eefbd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eefbd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f2ba02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ceed0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ceed0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75bd4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9f1ee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9f1ee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8d2d7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8d2d7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874cb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874cb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874cb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874cb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874cb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5b5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ed962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ed962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ed962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ed962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ed962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acd78d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7dded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7dded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7dded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7dded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7dded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0949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0949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0949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0949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0949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1dc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1dc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427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427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427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427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be0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be0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c6211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c6211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c6211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c6211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eefbd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eefbd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c9c01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c9c01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cc9c01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c9c01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ceed0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ceed0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9a3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9a3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09a3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9a36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9f1ee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9f1ee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9a298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9a298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9a298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9a298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8d2d7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8d2d7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71c3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71c3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c71c3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71c3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427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1dc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1dcf2" w:themeFill="accent1" w:themeFillTint="40"/>
        <w:tcBorders/>
      </w:tcPr>
    </w:tblStylePr>
    <w:tblStylePr w:type="band2Horz">
      <w:rPr>
        <w:rFonts w:ascii="Arial" w:hAnsi="Arial"/>
        <w:color w:val="24427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427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427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427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427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427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be0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be0cb" w:themeFill="accent2" w:themeFillTint="40"/>
        <w:tcBorders/>
      </w:tcPr>
    </w:tblStylePr>
    <w:tblStylePr w:type="band2Horz">
      <w:rPr>
        <w:rFonts w:ascii="Arial" w:hAnsi="Arial"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c6211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cc9c01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eefbd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eefbd" w:themeFill="accent3" w:themeFillTint="40"/>
        <w:tcBorders/>
      </w:tcPr>
    </w:tblStylePr>
    <w:tblStylePr w:type="band2Horz">
      <w:rPr>
        <w:rFonts w:ascii="Arial" w:hAnsi="Arial"/>
        <w:color w:val="cc9c01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c9c01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cc9c01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c9c01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c9c01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c9c01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ceed0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ceed0" w:themeFill="accent4" w:themeFillTint="40"/>
        <w:tcBorders/>
      </w:tcPr>
    </w:tblStylePr>
    <w:tblStylePr w:type="band2Horz">
      <w:rPr>
        <w:rFonts w:ascii="Arial" w:hAnsi="Arial"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9a3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9a298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9f1ee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9f1ee" w:themeFill="accent5" w:themeFillTint="40"/>
        <w:tcBorders/>
      </w:tcPr>
    </w:tblStylePr>
    <w:tblStylePr w:type="band2Horz">
      <w:rPr>
        <w:rFonts w:ascii="Arial" w:hAnsi="Arial"/>
        <w:color w:val="29a298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9a298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9a298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9a298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9a298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9a298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c71c3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8d2d7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8d2d7" w:themeFill="accent6" w:themeFillTint="40"/>
        <w:tcBorders/>
      </w:tcPr>
    </w:tblStylePr>
    <w:tblStylePr w:type="band2Horz">
      <w:rPr>
        <w:rFonts w:ascii="Arial" w:hAnsi="Arial"/>
        <w:color w:val="c71c3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71c3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c71c3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71c3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71c3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71c3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1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6d3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6d3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77fcf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77fcf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77fcf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77fcf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2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3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3bb02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3bb02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3bb02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3bb02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4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5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6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1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6d3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6d3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77fcf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77fcf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77fcf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77fcf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2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3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3bb02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3bb02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3bb02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3bb02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4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5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6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8">
    <w:name w:val="Heading 1"/>
    <w:basedOn w:val="886"/>
    <w:next w:val="886"/>
    <w:link w:val="8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9">
    <w:name w:val="Heading 2"/>
    <w:basedOn w:val="886"/>
    <w:next w:val="886"/>
    <w:link w:val="83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0">
    <w:name w:val="Heading 3"/>
    <w:basedOn w:val="886"/>
    <w:next w:val="886"/>
    <w:link w:val="83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1">
    <w:name w:val="Heading 4"/>
    <w:basedOn w:val="886"/>
    <w:next w:val="886"/>
    <w:link w:val="84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2">
    <w:name w:val="Heading 5"/>
    <w:basedOn w:val="886"/>
    <w:next w:val="886"/>
    <w:link w:val="84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3">
    <w:name w:val="Heading 6"/>
    <w:basedOn w:val="886"/>
    <w:next w:val="886"/>
    <w:link w:val="84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4">
    <w:name w:val="Heading 7"/>
    <w:basedOn w:val="886"/>
    <w:next w:val="886"/>
    <w:link w:val="84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5">
    <w:name w:val="Heading 8"/>
    <w:basedOn w:val="886"/>
    <w:next w:val="886"/>
    <w:link w:val="84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6">
    <w:name w:val="Heading 9"/>
    <w:basedOn w:val="886"/>
    <w:next w:val="886"/>
    <w:link w:val="84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7">
    <w:name w:val="Heading 1 Char"/>
    <w:basedOn w:val="887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8">
    <w:name w:val="Heading 2 Char"/>
    <w:basedOn w:val="887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9">
    <w:name w:val="Heading 3 Char"/>
    <w:basedOn w:val="887"/>
    <w:link w:val="8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0">
    <w:name w:val="Heading 4 Char"/>
    <w:basedOn w:val="887"/>
    <w:link w:val="83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1">
    <w:name w:val="Heading 5 Char"/>
    <w:basedOn w:val="887"/>
    <w:link w:val="8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2">
    <w:name w:val="Heading 6 Char"/>
    <w:basedOn w:val="887"/>
    <w:link w:val="83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3">
    <w:name w:val="Heading 7 Char"/>
    <w:basedOn w:val="887"/>
    <w:link w:val="83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4">
    <w:name w:val="Heading 8 Char"/>
    <w:basedOn w:val="887"/>
    <w:link w:val="8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5">
    <w:name w:val="Heading 9 Char"/>
    <w:basedOn w:val="887"/>
    <w:link w:val="8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6">
    <w:name w:val="Title"/>
    <w:basedOn w:val="886"/>
    <w:next w:val="886"/>
    <w:link w:val="84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7">
    <w:name w:val="Title Char"/>
    <w:basedOn w:val="887"/>
    <w:link w:val="84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8">
    <w:name w:val="Subtitle"/>
    <w:basedOn w:val="886"/>
    <w:next w:val="886"/>
    <w:link w:val="84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9">
    <w:name w:val="Subtitle Char"/>
    <w:basedOn w:val="887"/>
    <w:link w:val="84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0">
    <w:name w:val="Quote"/>
    <w:basedOn w:val="886"/>
    <w:next w:val="886"/>
    <w:link w:val="85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1">
    <w:name w:val="Quote Char"/>
    <w:basedOn w:val="887"/>
    <w:link w:val="850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2">
    <w:name w:val="List Paragraph"/>
    <w:basedOn w:val="886"/>
    <w:uiPriority w:val="34"/>
    <w:qFormat/>
    <w:pPr>
      <w:pBdr/>
      <w:spacing/>
      <w:ind w:left="720"/>
      <w:contextualSpacing w:val="true"/>
    </w:pPr>
  </w:style>
  <w:style w:type="character" w:styleId="853">
    <w:name w:val="Intense Emphasis"/>
    <w:basedOn w:val="88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4">
    <w:name w:val="Intense Quote"/>
    <w:basedOn w:val="886"/>
    <w:next w:val="886"/>
    <w:link w:val="85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5">
    <w:name w:val="Intense Quote Char"/>
    <w:basedOn w:val="887"/>
    <w:link w:val="85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6">
    <w:name w:val="Intense Reference"/>
    <w:basedOn w:val="88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7">
    <w:name w:val="No Spacing"/>
    <w:basedOn w:val="886"/>
    <w:uiPriority w:val="1"/>
    <w:qFormat/>
    <w:pPr>
      <w:pBdr/>
      <w:spacing w:after="0" w:line="240" w:lineRule="auto"/>
      <w:ind/>
    </w:pPr>
  </w:style>
  <w:style w:type="character" w:styleId="858">
    <w:name w:val="Subtle Emphasis"/>
    <w:basedOn w:val="88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9">
    <w:name w:val="Emphasis"/>
    <w:basedOn w:val="887"/>
    <w:uiPriority w:val="20"/>
    <w:qFormat/>
    <w:pPr>
      <w:pBdr/>
      <w:spacing/>
      <w:ind/>
    </w:pPr>
    <w:rPr>
      <w:i/>
      <w:iCs/>
    </w:rPr>
  </w:style>
  <w:style w:type="character" w:styleId="860">
    <w:name w:val="Strong"/>
    <w:basedOn w:val="887"/>
    <w:uiPriority w:val="22"/>
    <w:qFormat/>
    <w:pPr>
      <w:pBdr/>
      <w:spacing/>
      <w:ind/>
    </w:pPr>
    <w:rPr>
      <w:b/>
      <w:bCs/>
    </w:rPr>
  </w:style>
  <w:style w:type="character" w:styleId="861">
    <w:name w:val="Subtle Reference"/>
    <w:basedOn w:val="88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2">
    <w:name w:val="Book Title"/>
    <w:basedOn w:val="88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63">
    <w:name w:val="Header Char"/>
    <w:basedOn w:val="887"/>
    <w:link w:val="891"/>
    <w:uiPriority w:val="99"/>
    <w:pPr>
      <w:pBdr/>
      <w:spacing/>
      <w:ind/>
    </w:pPr>
  </w:style>
  <w:style w:type="character" w:styleId="864">
    <w:name w:val="Footer Char"/>
    <w:basedOn w:val="887"/>
    <w:link w:val="893"/>
    <w:uiPriority w:val="99"/>
    <w:pPr>
      <w:pBdr/>
      <w:spacing/>
      <w:ind/>
    </w:pPr>
  </w:style>
  <w:style w:type="paragraph" w:styleId="865">
    <w:name w:val="Caption"/>
    <w:basedOn w:val="886"/>
    <w:next w:val="88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6">
    <w:name w:val="footnote text"/>
    <w:basedOn w:val="886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Footnote Text Char"/>
    <w:basedOn w:val="887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footnote reference"/>
    <w:basedOn w:val="887"/>
    <w:uiPriority w:val="99"/>
    <w:semiHidden/>
    <w:unhideWhenUsed/>
    <w:pPr>
      <w:pBdr/>
      <w:spacing/>
      <w:ind/>
    </w:pPr>
    <w:rPr>
      <w:vertAlign w:val="superscript"/>
    </w:rPr>
  </w:style>
  <w:style w:type="paragraph" w:styleId="869">
    <w:name w:val="endnote text"/>
    <w:basedOn w:val="886"/>
    <w:link w:val="8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0">
    <w:name w:val="Endnote Text Char"/>
    <w:basedOn w:val="887"/>
    <w:link w:val="869"/>
    <w:uiPriority w:val="99"/>
    <w:semiHidden/>
    <w:pPr>
      <w:pBdr/>
      <w:spacing/>
      <w:ind/>
    </w:pPr>
    <w:rPr>
      <w:sz w:val="20"/>
      <w:szCs w:val="20"/>
    </w:rPr>
  </w:style>
  <w:style w:type="character" w:styleId="871">
    <w:name w:val="endnote reference"/>
    <w:basedOn w:val="887"/>
    <w:uiPriority w:val="99"/>
    <w:semiHidden/>
    <w:unhideWhenUsed/>
    <w:pPr>
      <w:pBdr/>
      <w:spacing/>
      <w:ind/>
    </w:pPr>
    <w:rPr>
      <w:vertAlign w:val="superscript"/>
    </w:rPr>
  </w:style>
  <w:style w:type="character" w:styleId="872">
    <w:name w:val="Hyperlink"/>
    <w:basedOn w:val="88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3">
    <w:name w:val="FollowedHyperlink"/>
    <w:basedOn w:val="88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4">
    <w:name w:val="toc 1"/>
    <w:basedOn w:val="886"/>
    <w:next w:val="886"/>
    <w:uiPriority w:val="39"/>
    <w:unhideWhenUsed/>
    <w:pPr>
      <w:pBdr/>
      <w:spacing w:after="100"/>
      <w:ind/>
    </w:pPr>
  </w:style>
  <w:style w:type="paragraph" w:styleId="875">
    <w:name w:val="toc 2"/>
    <w:basedOn w:val="886"/>
    <w:next w:val="886"/>
    <w:uiPriority w:val="39"/>
    <w:unhideWhenUsed/>
    <w:pPr>
      <w:pBdr/>
      <w:spacing w:after="100"/>
      <w:ind w:left="220"/>
    </w:pPr>
  </w:style>
  <w:style w:type="paragraph" w:styleId="876">
    <w:name w:val="toc 3"/>
    <w:basedOn w:val="886"/>
    <w:next w:val="886"/>
    <w:uiPriority w:val="39"/>
    <w:unhideWhenUsed/>
    <w:pPr>
      <w:pBdr/>
      <w:spacing w:after="100"/>
      <w:ind w:left="440"/>
    </w:pPr>
  </w:style>
  <w:style w:type="paragraph" w:styleId="877">
    <w:name w:val="toc 4"/>
    <w:basedOn w:val="886"/>
    <w:next w:val="886"/>
    <w:uiPriority w:val="39"/>
    <w:unhideWhenUsed/>
    <w:pPr>
      <w:pBdr/>
      <w:spacing w:after="100"/>
      <w:ind w:left="660"/>
    </w:pPr>
  </w:style>
  <w:style w:type="paragraph" w:styleId="878">
    <w:name w:val="toc 5"/>
    <w:basedOn w:val="886"/>
    <w:next w:val="886"/>
    <w:uiPriority w:val="39"/>
    <w:unhideWhenUsed/>
    <w:pPr>
      <w:pBdr/>
      <w:spacing w:after="100"/>
      <w:ind w:left="880"/>
    </w:pPr>
  </w:style>
  <w:style w:type="paragraph" w:styleId="879">
    <w:name w:val="toc 6"/>
    <w:basedOn w:val="886"/>
    <w:next w:val="886"/>
    <w:uiPriority w:val="39"/>
    <w:unhideWhenUsed/>
    <w:pPr>
      <w:pBdr/>
      <w:spacing w:after="100"/>
      <w:ind w:left="1100"/>
    </w:pPr>
  </w:style>
  <w:style w:type="paragraph" w:styleId="880">
    <w:name w:val="toc 7"/>
    <w:basedOn w:val="886"/>
    <w:next w:val="886"/>
    <w:uiPriority w:val="39"/>
    <w:unhideWhenUsed/>
    <w:pPr>
      <w:pBdr/>
      <w:spacing w:after="100"/>
      <w:ind w:left="1320"/>
    </w:pPr>
  </w:style>
  <w:style w:type="paragraph" w:styleId="881">
    <w:name w:val="toc 8"/>
    <w:basedOn w:val="886"/>
    <w:next w:val="886"/>
    <w:uiPriority w:val="39"/>
    <w:unhideWhenUsed/>
    <w:pPr>
      <w:pBdr/>
      <w:spacing w:after="100"/>
      <w:ind w:left="1540"/>
    </w:pPr>
  </w:style>
  <w:style w:type="paragraph" w:styleId="882">
    <w:name w:val="toc 9"/>
    <w:basedOn w:val="886"/>
    <w:next w:val="886"/>
    <w:uiPriority w:val="39"/>
    <w:unhideWhenUsed/>
    <w:pPr>
      <w:pBdr/>
      <w:spacing w:after="100"/>
      <w:ind w:left="1760"/>
    </w:pPr>
  </w:style>
  <w:style w:type="character" w:styleId="883">
    <w:name w:val="Placeholder Text"/>
    <w:basedOn w:val="887"/>
    <w:uiPriority w:val="99"/>
    <w:semiHidden/>
    <w:pPr>
      <w:pBdr/>
      <w:spacing/>
      <w:ind/>
    </w:pPr>
    <w:rPr>
      <w:color w:val="666666"/>
    </w:rPr>
  </w:style>
  <w:style w:type="paragraph" w:styleId="884">
    <w:name w:val="TOC Heading"/>
    <w:uiPriority w:val="39"/>
    <w:unhideWhenUsed/>
    <w:pPr>
      <w:pBdr/>
      <w:spacing/>
      <w:ind/>
    </w:pPr>
  </w:style>
  <w:style w:type="paragraph" w:styleId="885">
    <w:name w:val="table of figures"/>
    <w:basedOn w:val="886"/>
    <w:next w:val="886"/>
    <w:uiPriority w:val="99"/>
    <w:unhideWhenUsed/>
    <w:pPr>
      <w:pBdr/>
      <w:spacing w:after="0" w:afterAutospacing="0"/>
      <w:ind/>
    </w:pPr>
  </w:style>
  <w:style w:type="paragraph" w:styleId="886" w:default="1">
    <w:name w:val="Normal"/>
    <w:qFormat/>
    <w:pPr>
      <w:widowControl w:val="false"/>
      <w:pBdr/>
      <w:spacing/>
      <w:ind/>
      <w:jc w:val="both"/>
    </w:pPr>
    <w:rPr>
      <w:sz w:val="21"/>
      <w:szCs w:val="24"/>
    </w:rPr>
  </w:style>
  <w:style w:type="character" w:styleId="887" w:default="1">
    <w:name w:val="Default Paragraph Font"/>
    <w:uiPriority w:val="1"/>
    <w:unhideWhenUsed/>
    <w:pPr>
      <w:pBdr/>
      <w:spacing/>
      <w:ind/>
    </w:pPr>
  </w:style>
  <w:style w:type="table" w:styleId="888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9" w:default="1">
    <w:name w:val="No List"/>
    <w:uiPriority w:val="99"/>
    <w:semiHidden/>
    <w:unhideWhenUsed/>
    <w:pPr>
      <w:pBdr/>
      <w:spacing/>
      <w:ind/>
    </w:pPr>
  </w:style>
  <w:style w:type="table" w:styleId="890">
    <w:name w:val="Table Grid"/>
    <w:basedOn w:val="888"/>
    <w:pPr>
      <w:widowControl w:val="false"/>
      <w:pBdr/>
      <w:spacing/>
      <w:ind/>
      <w:jc w:val="both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1">
    <w:name w:val="Header"/>
    <w:basedOn w:val="886"/>
    <w:link w:val="892"/>
    <w:pPr>
      <w:pBdr/>
      <w:tabs>
        <w:tab w:val="center" w:leader="none" w:pos="4153"/>
        <w:tab w:val="right" w:leader="none" w:pos="8306"/>
      </w:tabs>
      <w:spacing/>
      <w:ind/>
      <w:jc w:val="center"/>
    </w:pPr>
    <w:rPr>
      <w:sz w:val="18"/>
      <w:szCs w:val="18"/>
    </w:rPr>
  </w:style>
  <w:style w:type="character" w:styleId="892" w:customStyle="1">
    <w:name w:val="页眉 字符"/>
    <w:basedOn w:val="887"/>
    <w:link w:val="891"/>
    <w:pPr>
      <w:pBdr/>
      <w:spacing/>
      <w:ind/>
    </w:pPr>
    <w:rPr>
      <w:sz w:val="18"/>
      <w:szCs w:val="18"/>
    </w:rPr>
  </w:style>
  <w:style w:type="paragraph" w:styleId="893">
    <w:name w:val="Footer"/>
    <w:basedOn w:val="886"/>
    <w:link w:val="894"/>
    <w:pPr>
      <w:pBdr/>
      <w:tabs>
        <w:tab w:val="center" w:leader="none" w:pos="4153"/>
        <w:tab w:val="right" w:leader="none" w:pos="8306"/>
      </w:tabs>
      <w:spacing/>
      <w:ind/>
      <w:jc w:val="left"/>
    </w:pPr>
    <w:rPr>
      <w:sz w:val="18"/>
      <w:szCs w:val="18"/>
    </w:rPr>
  </w:style>
  <w:style w:type="character" w:styleId="894" w:customStyle="1">
    <w:name w:val="页脚 字符"/>
    <w:basedOn w:val="887"/>
    <w:link w:val="893"/>
    <w:pPr>
      <w:pBdr/>
      <w:spacing/>
      <w:ind/>
    </w:pPr>
    <w:rPr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承佑</dc:creator>
  <cp:revision>5</cp:revision>
  <dcterms:created xsi:type="dcterms:W3CDTF">2025-08-29T01:19:00Z</dcterms:created>
  <dcterms:modified xsi:type="dcterms:W3CDTF">2025-08-31T11:00:06Z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A467EED0D9764B6F9281C9F81FCFC14F_11</vt:lpwstr>
  </property>
  <property fmtid="{D5CDD505-2E9C-101B-9397-08002B2CF9AE}" pid="4" name="KSOTemplateDocerSaveRecord">
    <vt:lpwstr>eyJoZGlkIjoiYzExOGQ2OWQ1NmExZTVhYmQxMzRhYjAzZWE0ZmM3YzYiLCJ1c2VySWQiOiI4Mzg4NzIyMjkifQ==</vt:lpwstr>
  </property>
</Properties>
</file>