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CSA Mentoring Unit — Second Interview Guide</w:t>
      </w:r>
    </w:p>
    <w:p>
      <w:r>
        <w:rPr>
          <w:i/>
          <w:color w:val="333333"/>
          <w:sz w:val="24"/>
        </w:rPr>
        <w:t>Compiled guide — Em &amp; Clark's questions merged, reordered, and gap-filled against the professor's WHY/HOW/WHAT feedback</w:t>
      </w:r>
    </w:p>
    <w:p>
      <w:r>
        <w:rPr>
          <w:i/>
          <w:color w:val="555555"/>
          <w:sz w:val="20"/>
        </w:rPr>
        <w:t>Prepared by: Deejay Clark Datu &amp; Emmanuel Velasco  |  Estimated duration: 1 hour  |  Interviewees: Ms. Nina, Ms. Kelai (Operations Coordinators)</w:t>
      </w:r>
    </w:p>
    <w:p>
      <w:pPr>
        <w:pStyle w:val="Heading2"/>
      </w:pPr>
      <w:r>
        <w:t>How this guide is organized</w:t>
      </w:r>
    </w:p>
    <w:p>
      <w:r>
        <w:rPr>
          <w:i w:val="0"/>
        </w:rPr>
        <w:t>Clark's five categories (business purpose, target state, governance, capabilities, constraints/risks/dependencies) map cleanly onto the professor's WHY → WHAT → HOW → boundaries framing, so they're kept as the backbone. Em's questions are folded in wherever they overlap, and items tagged [new] are additions closing gaps from the Issues Log or last session's discussion that neither original list covered. Items tagged [pre-sent] were messaged ahead — treat those as confirm-and-probe rather than cold questions during the live session.</w:t>
      </w:r>
    </w:p>
    <w:p>
      <w:pPr>
        <w:spacing w:after="120"/>
        <w:pBdr>
          <w:bottom w:val="single" w:sz="6" w:space="1" w:color="AAAAAA"/>
        </w:pBdr>
      </w:pPr>
    </w:p>
    <w:p>
      <w:pPr>
        <w:pStyle w:val="Heading1"/>
      </w:pPr>
      <w:r>
        <w:t>0. Message to Send Ahead of the Interview</w:t>
      </w:r>
    </w:p>
    <w:p>
      <w:r>
        <w:rPr>
          <w:i/>
        </w:rPr>
        <w:t>Suggested message to Ms. Nina / Ms. Kelai, sent the day before:</w:t>
      </w:r>
    </w:p>
    <w:p>
      <w:r>
        <w:rPr>
          <w:i w:val="0"/>
        </w:rPr>
        <w:t>“Hi Ms. Nina / Ms. Kelai — ahead of tomorrow's session, here are a few questions we'd love for you to think over (and pull any numbers for, if handy), so we can make the most of our hour together:”</w:t>
      </w:r>
    </w:p>
    <w:p>
      <w:r>
        <w:rPr>
          <w:b/>
        </w:rPr>
        <w:t xml:space="preserve">1. </w:t>
      </w:r>
      <w:r>
        <w:t>What exactly is the Office of Student Mentoring (OSM) — what does it offer to and do for the university?</w:t>
      </w:r>
    </w:p>
    <w:p>
      <w:r>
        <w:rPr>
          <w:b/>
        </w:rPr>
        <w:t xml:space="preserve">2. </w:t>
      </w:r>
      <w:r>
        <w:t>Beyond enforcing the 3-session quota, what would you say is the Mentoring Unit's broader purpose within UA&amp;P, and why is the unit mandated to run the program?</w:t>
      </w:r>
    </w:p>
    <w:p>
      <w:r>
        <w:rPr>
          <w:b/>
        </w:rPr>
        <w:t xml:space="preserve">3. </w:t>
      </w:r>
      <w:r>
        <w:t>What is the unit's own working definition of “mentoring”?</w:t>
      </w:r>
    </w:p>
    <w:p>
      <w:r>
        <w:rPr>
          <w:b/>
        </w:rPr>
        <w:t xml:space="preserve">4. </w:t>
      </w:r>
      <w:r>
        <w:t>What specific, measurable targets (SMART goals) is the unit, or CSA leadership, expected to hit this academic year?</w:t>
      </w:r>
    </w:p>
    <w:p>
      <w:r>
        <w:rPr>
          <w:b/>
        </w:rPr>
        <w:t xml:space="preserve">5. </w:t>
      </w:r>
      <w:r>
        <w:t>Could you confirm the current scale — roughly 1,800 students and 180 mentors from our last conversation — and whether that's shifted for AY 2026–27?</w:t>
      </w:r>
    </w:p>
    <w:p>
      <w:r>
        <w:rPr>
          <w:b/>
        </w:rPr>
        <w:t xml:space="preserve">6. </w:t>
      </w:r>
      <w:r>
        <w:t>Does the unit currently run any training or onboarding for mentors? If so, what does it look like?</w:t>
      </w:r>
    </w:p>
    <w:p>
      <w:r>
        <w:rPr>
          <w:b/>
        </w:rPr>
        <w:t xml:space="preserve">7. </w:t>
      </w:r>
      <w:r>
        <w:t>What are the eligibility criteria for approving a mentor, for both faculty and external mentors?</w:t>
      </w:r>
    </w:p>
    <w:p>
      <w:r>
        <w:rPr>
          <w:b/>
        </w:rPr>
        <w:t xml:space="preserve">8. </w:t>
      </w:r>
      <w:r>
        <w:t>For external (non-faculty) mentors specifically, how are they sourced, and what role do HR and Financial Management &amp; Resources play?</w:t>
      </w:r>
    </w:p>
    <w:p>
      <w:r>
        <w:rPr>
          <w:b/>
        </w:rPr>
        <w:t xml:space="preserve">9. </w:t>
      </w:r>
      <w:r>
        <w:t>Apart from the new policy, what strategies does the unit already use to encourage student participation?</w:t>
      </w:r>
    </w:p>
    <w:p>
      <w:r>
        <w:rPr>
          <w:b/>
        </w:rPr>
        <w:t xml:space="preserve">10. </w:t>
      </w:r>
      <w:r>
        <w:t>Looking 1–3 years out, where would you like to see the Mentoring Unit if today's operational headaches were resolved?</w:t>
      </w:r>
    </w:p>
    <w:p>
      <w:r>
        <w:rPr>
          <w:i/>
        </w:rPr>
        <w:t>Kept off the pre-send list on purpose: anything reflective/political (“is the unit essential,” leadership red flags, non-negotiable constraints, the cost/risk behind non-participation) — those read better live, where tone and follow-up matter.</w:t>
      </w:r>
    </w:p>
    <w:p>
      <w:pPr>
        <w:spacing w:after="120"/>
        <w:pBdr>
          <w:bottom w:val="single" w:sz="6" w:space="1" w:color="AAAAAA"/>
        </w:pBdr>
      </w:pPr>
    </w:p>
    <w:p>
      <w:pPr>
        <w:pStyle w:val="Heading1"/>
      </w:pPr>
      <w:r>
        <w:t>I. Business Purpose &amp; Value  (WHY)</w:t>
      </w:r>
    </w:p>
    <w:p>
      <w:r>
        <w:rPr>
          <w:i/>
          <w:color w:val="555555"/>
          <w:sz w:val="20"/>
        </w:rPr>
        <w:t>~10 minutes</w:t>
      </w:r>
    </w:p>
    <w:p>
      <w:r>
        <w:rPr>
          <w:b/>
        </w:rPr>
        <w:t xml:space="preserve">1. </w:t>
      </w:r>
      <w:r>
        <w:t>What exactly is the OSM?</w:t>
      </w:r>
      <w:r>
        <w:rPr>
          <w:i/>
          <w:color w:val="808080"/>
          <w:sz w:val="18"/>
        </w:rPr>
        <w:t xml:space="preserve">  [pre-sent]</w:t>
      </w:r>
    </w:p>
    <w:p>
      <w:pPr>
        <w:ind w:left="504"/>
      </w:pPr>
      <w:r>
        <w:rPr>
          <w:b/>
        </w:rPr>
        <w:t xml:space="preserve">a. </w:t>
      </w:r>
      <w:r>
        <w:t>What does the unit offer to the university?</w:t>
      </w:r>
    </w:p>
    <w:p>
      <w:pPr>
        <w:ind w:left="504"/>
      </w:pPr>
      <w:r>
        <w:rPr>
          <w:b/>
        </w:rPr>
        <w:t xml:space="preserve">b. </w:t>
      </w:r>
      <w:r>
        <w:t>What does the unit do in the university?</w:t>
      </w:r>
    </w:p>
    <w:p>
      <w:r>
        <w:rPr>
          <w:b/>
        </w:rPr>
        <w:t xml:space="preserve">2. </w:t>
      </w:r>
      <w:r>
        <w:t>Beyond enforcing the 3-session quota, what is the ultimate business purpose of the Mentoring Unit within UA&amp;P?</w:t>
      </w:r>
      <w:r>
        <w:rPr>
          <w:i/>
          <w:color w:val="808080"/>
          <w:sz w:val="18"/>
        </w:rPr>
        <w:t xml:space="preserve">  [pre-sent]</w:t>
      </w:r>
    </w:p>
    <w:p>
      <w:pPr>
        <w:ind w:left="504"/>
      </w:pPr>
      <w:r>
        <w:rPr>
          <w:b/>
        </w:rPr>
        <w:t xml:space="preserve">a. </w:t>
      </w:r>
      <w:r>
        <w:t>Why is the unit obligated/mandated/required to facilitate the mentoring program?</w:t>
      </w:r>
      <w:r>
        <w:rPr>
          <w:i/>
          <w:color w:val="808080"/>
          <w:sz w:val="18"/>
        </w:rPr>
        <w:t xml:space="preserve">  [pre-sent]</w:t>
      </w:r>
    </w:p>
    <w:p>
      <w:r>
        <w:rPr>
          <w:b/>
        </w:rPr>
        <w:t xml:space="preserve">3. </w:t>
      </w:r>
      <w:r>
        <w:t>Is the Unit essential in the university — what would actually be lost if it didn't exist?</w:t>
      </w:r>
    </w:p>
    <w:p>
      <w:r>
        <w:rPr>
          <w:b/>
        </w:rPr>
        <w:t xml:space="preserve">4. </w:t>
      </w:r>
      <w:r>
        <w:t>How does the unit define “value” for its primary customers — the students and the mentors?</w:t>
      </w:r>
    </w:p>
    <w:p>
      <w:r>
        <w:rPr>
          <w:b/>
        </w:rPr>
        <w:t xml:space="preserve">5. </w:t>
      </w:r>
      <w:r>
        <w:t>Setting the new policy aside, was universal student participation already a requirement, or is that itself new this year?</w:t>
      </w:r>
    </w:p>
    <w:p>
      <w:pPr>
        <w:pStyle w:val="Heading1"/>
      </w:pPr>
      <w:r>
        <w:t>II. Target State &amp; Success Measures  (WHAT)</w:t>
      </w:r>
    </w:p>
    <w:p>
      <w:r>
        <w:rPr>
          <w:i/>
          <w:color w:val="555555"/>
          <w:sz w:val="20"/>
        </w:rPr>
        <w:t>~10 minutes</w:t>
      </w:r>
    </w:p>
    <w:p>
      <w:r>
        <w:rPr>
          <w:b/>
        </w:rPr>
        <w:t xml:space="preserve">6. </w:t>
      </w:r>
      <w:r>
        <w:t>Where do you envision the Mentoring Unit being in the next 1 to 3 years, if today's operational headaches were resolved?</w:t>
      </w:r>
      <w:r>
        <w:rPr>
          <w:i/>
          <w:color w:val="808080"/>
          <w:sz w:val="18"/>
        </w:rPr>
        <w:t xml:space="preserve">  [pre-sent]</w:t>
      </w:r>
    </w:p>
    <w:p>
      <w:r>
        <w:rPr>
          <w:b/>
        </w:rPr>
        <w:t xml:space="preserve">7. </w:t>
      </w:r>
      <w:r>
        <w:t>What are the specific, measurable targets (SMART goals) the unit or CSA leadership is expected to hit this academic year?</w:t>
      </w:r>
      <w:r>
        <w:rPr>
          <w:i/>
          <w:color w:val="808080"/>
          <w:sz w:val="18"/>
        </w:rPr>
        <w:t xml:space="preserve">  [pre-sent]</w:t>
      </w:r>
    </w:p>
    <w:p>
      <w:r>
        <w:rPr>
          <w:b/>
        </w:rPr>
        <w:t xml:space="preserve">8. </w:t>
      </w:r>
      <w:r>
        <w:t>What is the definition of “Mentoring” to the unit?</w:t>
      </w:r>
      <w:r>
        <w:rPr>
          <w:i/>
          <w:color w:val="808080"/>
          <w:sz w:val="18"/>
        </w:rPr>
        <w:t xml:space="preserve">  [pre-sent]</w:t>
      </w:r>
    </w:p>
    <w:p>
      <w:pPr>
        <w:ind w:left="504"/>
      </w:pPr>
      <w:r>
        <w:rPr>
          <w:b/>
        </w:rPr>
        <w:t xml:space="preserve">a. </w:t>
      </w:r>
      <w:r>
        <w:t>One of your own success indicators is that students can define what mentoring is — what would a student's answer need to include for that to count?</w:t>
      </w:r>
    </w:p>
    <w:p>
      <w:r>
        <w:rPr>
          <w:b/>
        </w:rPr>
        <w:t xml:space="preserve">9. </w:t>
      </w:r>
      <w:r>
        <w:t>What would have to be true — culturally or procedurally — before the unit felt comfortable dropping the session-logging requirement entirely?</w:t>
      </w:r>
      <w:r>
        <w:rPr>
          <w:i/>
          <w:color w:val="808080"/>
          <w:sz w:val="18"/>
        </w:rPr>
        <w:t xml:space="preserve">  [new]</w:t>
      </w:r>
    </w:p>
    <w:p>
      <w:r>
        <w:rPr>
          <w:b/>
        </w:rPr>
        <w:t xml:space="preserve">10. </w:t>
      </w:r>
      <w:r>
        <w:t>Does the Unit train professors/mentors?</w:t>
      </w:r>
      <w:r>
        <w:rPr>
          <w:i/>
          <w:color w:val="808080"/>
          <w:sz w:val="18"/>
        </w:rPr>
        <w:t xml:space="preserve">  [pre-sent]</w:t>
      </w:r>
    </w:p>
    <w:p>
      <w:pPr>
        <w:ind w:left="504"/>
      </w:pPr>
      <w:r>
        <w:rPr>
          <w:b/>
        </w:rPr>
        <w:t xml:space="preserve">a. </w:t>
      </w:r>
      <w:r>
        <w:t>If so, what is their training program like?</w:t>
      </w:r>
    </w:p>
    <w:p>
      <w:pPr>
        <w:ind w:left="504"/>
      </w:pPr>
      <w:r>
        <w:rPr>
          <w:b/>
        </w:rPr>
        <w:t xml:space="preserve">b. </w:t>
      </w:r>
      <w:r>
        <w:t>If not, how are they instructed to give mentoring to students?</w:t>
      </w:r>
    </w:p>
    <w:p>
      <w:pPr>
        <w:pStyle w:val="Heading1"/>
      </w:pPr>
      <w:r>
        <w:t>III. Governance &amp; Decision-Making</w:t>
      </w:r>
    </w:p>
    <w:p>
      <w:r>
        <w:rPr>
          <w:i/>
          <w:color w:val="555555"/>
          <w:sz w:val="20"/>
        </w:rPr>
        <w:t>~8 minutes</w:t>
      </w:r>
    </w:p>
    <w:p>
      <w:r>
        <w:rPr>
          <w:b/>
        </w:rPr>
        <w:t xml:space="preserve">11. </w:t>
      </w:r>
      <w:r>
        <w:t>Who actually sets the strategic direction for the mentoring program — the Executive Director, Mancom, or a broader university plan — and how often is that direction revisited?</w:t>
      </w:r>
    </w:p>
    <w:p>
      <w:r>
        <w:rPr>
          <w:b/>
        </w:rPr>
        <w:t xml:space="preserve">12. </w:t>
      </w:r>
      <w:r>
        <w:t>What specific questions does university leadership (Ms. Concha and Mancom) ask regarding mentoring, and what decisions do they make from the reports you submit?</w:t>
      </w:r>
    </w:p>
    <w:p>
      <w:r>
        <w:rPr>
          <w:b/>
        </w:rPr>
        <w:t xml:space="preserve">13. </w:t>
      </w:r>
      <w:r>
        <w:t>What specific thresholds or red flags trigger intervention from leadership or your own office?</w:t>
      </w:r>
    </w:p>
    <w:p>
      <w:r>
        <w:rPr>
          <w:b/>
        </w:rPr>
        <w:t xml:space="preserve">14. </w:t>
      </w:r>
      <w:r>
        <w:t>Beyond the enrollment hold on students, why does non-participation actually matter to the university — is there a cost or risk being managed (mentors paid regardless of attendance, an accreditation/record-keeping requirement, retention impact, reputational concern)?</w:t>
      </w:r>
      <w:r>
        <w:rPr>
          <w:i/>
          <w:color w:val="808080"/>
          <w:sz w:val="18"/>
        </w:rPr>
        <w:t xml:space="preserve">  [new]</w:t>
      </w:r>
    </w:p>
    <w:p>
      <w:r>
        <w:rPr>
          <w:b/>
        </w:rPr>
        <w:t xml:space="preserve">15. </w:t>
      </w:r>
      <w:r>
        <w:t>What concretely changes for the university if participation reaches 100% versus where it stands today?</w:t>
      </w:r>
      <w:r>
        <w:rPr>
          <w:i/>
          <w:color w:val="808080"/>
          <w:sz w:val="18"/>
        </w:rPr>
        <w:t xml:space="preserve">  [new]</w:t>
      </w:r>
    </w:p>
    <w:p>
      <w:pPr>
        <w:pStyle w:val="Heading1"/>
      </w:pPr>
      <w:r>
        <w:t>IV. Capabilities &amp; Operations  (HOW)</w:t>
      </w:r>
    </w:p>
    <w:p>
      <w:r>
        <w:rPr>
          <w:i/>
          <w:color w:val="555555"/>
          <w:sz w:val="20"/>
        </w:rPr>
        <w:t>~15 minutes</w:t>
      </w:r>
    </w:p>
    <w:p>
      <w:r>
        <w:rPr>
          <w:b/>
        </w:rPr>
        <w:t xml:space="preserve">16. </w:t>
      </w:r>
      <w:r>
        <w:t>What organizational capabilities does the Mentoring Unit currently lack that prevent it from achieving its strategic goals?</w:t>
      </w:r>
    </w:p>
    <w:p>
      <w:r>
        <w:rPr>
          <w:b/>
        </w:rPr>
        <w:t xml:space="preserve">17. </w:t>
      </w:r>
      <w:r>
        <w:t>How does the unit manage the balance between institutional policy enforcement and the operational independence of individual schools?</w:t>
      </w:r>
    </w:p>
    <w:p>
      <w:r>
        <w:rPr>
          <w:b/>
        </w:rPr>
        <w:t xml:space="preserve">18. </w:t>
      </w:r>
      <w:r>
        <w:t>How does the unit approve mentors?</w:t>
      </w:r>
      <w:r>
        <w:rPr>
          <w:i/>
          <w:color w:val="808080"/>
          <w:sz w:val="18"/>
        </w:rPr>
        <w:t xml:space="preserve">  [pre-sent (criteria)]</w:t>
      </w:r>
    </w:p>
    <w:p>
      <w:pPr>
        <w:ind w:left="504"/>
      </w:pPr>
      <w:r>
        <w:rPr>
          <w:b/>
        </w:rPr>
        <w:t xml:space="preserve">a. </w:t>
      </w:r>
      <w:r>
        <w:t>What are the criteria for eligibility — and do they differ for faculty vs. external mentors?</w:t>
      </w:r>
    </w:p>
    <w:p>
      <w:pPr>
        <w:ind w:left="504"/>
      </w:pPr>
      <w:r>
        <w:rPr>
          <w:b/>
        </w:rPr>
        <w:t xml:space="preserve">b. </w:t>
      </w:r>
      <w:r>
        <w:t>For external (non-faculty) mentors specifically, how are they sourced, and what role do HR and Financial Management &amp; Resources play in bringing them on?</w:t>
      </w:r>
      <w:r>
        <w:rPr>
          <w:i/>
          <w:color w:val="808080"/>
          <w:sz w:val="18"/>
        </w:rPr>
        <w:t xml:space="preserve">  [pre-sent]</w:t>
      </w:r>
    </w:p>
    <w:p>
      <w:pPr>
        <w:ind w:left="504"/>
      </w:pPr>
      <w:r>
        <w:rPr>
          <w:b/>
        </w:rPr>
        <w:t xml:space="preserve">c. </w:t>
      </w:r>
      <w:r>
        <w:t>Are there instances where mentors drop out of the program? What would be the reasons?</w:t>
      </w:r>
    </w:p>
    <w:p>
      <w:pPr>
        <w:ind w:left="504"/>
      </w:pPr>
      <w:r>
        <w:rPr>
          <w:b/>
        </w:rPr>
        <w:t xml:space="preserve">d. </w:t>
      </w:r>
      <w:r>
        <w:t>What qualifies as a “good” mentor, and how does the unit try to prevent a mentor becoming a “bad” one?</w:t>
      </w:r>
    </w:p>
    <w:p>
      <w:r>
        <w:rPr>
          <w:b/>
        </w:rPr>
        <w:t xml:space="preserve">19. </w:t>
      </w:r>
      <w:r>
        <w:t>What strategies does the unit employ to prevent students from wanting to change mentors — and separately, to attract good mentors in the first place?</w:t>
      </w:r>
    </w:p>
    <w:p>
      <w:r>
        <w:rPr>
          <w:b/>
        </w:rPr>
        <w:t xml:space="preserve">20. </w:t>
      </w:r>
      <w:r>
        <w:t>What strategies are in place to get students to do their mentoring, other than the new policy?</w:t>
      </w:r>
      <w:r>
        <w:rPr>
          <w:i/>
          <w:color w:val="808080"/>
          <w:sz w:val="18"/>
        </w:rPr>
        <w:t xml:space="preserve">  [pre-sent]</w:t>
      </w:r>
    </w:p>
    <w:p>
      <w:pPr>
        <w:ind w:left="504"/>
      </w:pPr>
      <w:r>
        <w:rPr>
          <w:b/>
        </w:rPr>
        <w:t xml:space="preserve">a. </w:t>
      </w:r>
      <w:r>
        <w:t>How does the unit promote the mentoring program to students?</w:t>
      </w:r>
    </w:p>
    <w:p>
      <w:pPr>
        <w:pStyle w:val="Heading1"/>
      </w:pPr>
      <w:r>
        <w:t>V. Constraints, Risks &amp; Dependencies</w:t>
      </w:r>
    </w:p>
    <w:p>
      <w:r>
        <w:rPr>
          <w:i/>
          <w:color w:val="555555"/>
          <w:sz w:val="20"/>
        </w:rPr>
        <w:t>~8 minutes</w:t>
      </w:r>
    </w:p>
    <w:p>
      <w:r>
        <w:rPr>
          <w:b/>
        </w:rPr>
        <w:t xml:space="preserve">21. </w:t>
      </w:r>
      <w:r>
        <w:t>What external dependencies currently pose the greatest risk to the mentoring cycle, and why hasn't an institutional solution been established for them?</w:t>
      </w:r>
    </w:p>
    <w:p>
      <w:r>
        <w:rPr>
          <w:b/>
        </w:rPr>
        <w:t xml:space="preserve">22. </w:t>
      </w:r>
      <w:r>
        <w:t>What constraints — budget, policy, staffing, or university politics — are non-negotiable and cannot be changed as part of this architecture effort?</w:t>
      </w:r>
    </w:p>
    <w:p>
      <w:r>
        <w:rPr>
          <w:b/>
        </w:rPr>
        <w:t xml:space="preserve">23. </w:t>
      </w:r>
      <w:r>
        <w:t>You'd mentioned considering a pilot of pairing/change-of-mentor changes with a single school before a wider rollout — is that still something you'd want, and which school would be the test case?</w:t>
      </w:r>
      <w:r>
        <w:rPr>
          <w:i/>
          <w:color w:val="808080"/>
          <w:sz w:val="18"/>
        </w:rPr>
        <w:t xml:space="preserve">  [new]</w:t>
      </w:r>
    </w:p>
    <w:p>
      <w:pPr>
        <w:pStyle w:val="Heading1"/>
      </w:pPr>
      <w:r>
        <w:t>VI. Closing — Open Floor</w:t>
      </w:r>
    </w:p>
    <w:p>
      <w:r>
        <w:rPr>
          <w:i/>
          <w:color w:val="555555"/>
          <w:sz w:val="20"/>
        </w:rPr>
        <w:t>~5 minutes</w:t>
      </w:r>
    </w:p>
    <w:p>
      <w:r>
        <w:rPr>
          <w:b/>
        </w:rPr>
        <w:t xml:space="preserve">24. </w:t>
      </w:r>
      <w:r>
        <w:t>If the unit could redesign pairing and monitoring from scratch, with none of today's tooling constraints, what would that look like?</w:t>
      </w:r>
    </w:p>
    <w:p>
      <w:r>
        <w:rPr>
          <w:b/>
        </w:rPr>
        <w:t xml:space="preserve">25. </w:t>
      </w:r>
      <w:r>
        <w:t>Is there anything about the program's purpose or direction we haven't asked about, but that you think we should understand before we finalize this proposal?</w:t>
      </w:r>
    </w:p>
    <w:p>
      <w:pPr>
        <w:spacing w:after="120"/>
        <w:pBdr>
          <w:bottom w:val="single" w:sz="6" w:space="1" w:color="AAAAAA"/>
        </w:pBdr>
      </w:pPr>
    </w:p>
    <w:p>
      <w:pPr>
        <w:pStyle w:val="Heading2"/>
      </w:pPr>
      <w:r>
        <w:t>Facilitation notes</w:t>
      </w:r>
    </w:p>
    <w:p>
      <w:r>
        <w:rPr>
          <w:i/>
        </w:rPr>
        <w:t>If time runs short, Sections I–III are the priority — they're what's actually missing from the draft right now per the professor's feedback. Section IV's sub-questions (18c/18d, dropout reasons, good-vs-bad mentor qualities) can compress into a single combined ask if needed; Section V can flex shortest since some of it (external dependencies, single-school pilot) already has partial answers from the first interview.</w:t>
      </w:r>
    </w:p>
    <w:p>
      <w:r>
        <w:rPr>
          <w:i/>
        </w:rPr>
        <w:t>Items marked [pre-sent] were messaged ahead of time — don't re-ask them cold. Open with “you mentioned in our message that…” and go straight to the follow-up sub-question.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