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6FF44" w14:textId="6DF0771F" w:rsidR="00427C86" w:rsidRPr="00427C86" w:rsidRDefault="00427C86" w:rsidP="00427C86">
      <w:pPr>
        <w:pStyle w:val="ProgramName"/>
        <w:rPr>
          <w:sz w:val="28"/>
          <w:szCs w:val="14"/>
        </w:rPr>
      </w:pPr>
      <w:r w:rsidRPr="00427C86">
        <w:t>TOGAF</w:t>
      </w:r>
      <w:r w:rsidRPr="00427C86">
        <w:rPr>
          <w:vertAlign w:val="superscript"/>
        </w:rPr>
        <w:t>®</w:t>
      </w:r>
      <w:r w:rsidRPr="00427C86">
        <w:t xml:space="preserve"> Architecture Requirements Specification (Phase B)</w:t>
      </w:r>
      <w:r w:rsidRPr="00427C86">
        <w:br/>
      </w:r>
      <w:r w:rsidRPr="00427C86">
        <w:br/>
      </w:r>
      <w:r w:rsidRPr="00427C86">
        <w:rPr>
          <w:sz w:val="28"/>
          <w:szCs w:val="14"/>
        </w:rPr>
        <w:t>Version 0.1 (Phase B draft), 2026-10-30</w:t>
      </w:r>
      <w:r w:rsidRPr="00427C86">
        <w:rPr>
          <w:sz w:val="28"/>
          <w:szCs w:val="14"/>
        </w:rPr>
        <w:br/>
      </w:r>
      <w:r w:rsidRPr="00427C86">
        <w:rPr>
          <w:sz w:val="28"/>
          <w:szCs w:val="14"/>
        </w:rPr>
        <w:br/>
      </w:r>
      <w:r w:rsidR="009B627F">
        <w:rPr>
          <w:sz w:val="28"/>
          <w:szCs w:val="14"/>
        </w:rPr>
        <w:t/>
      </w:r>
      <w:r w:rsidRPr="00427C86">
        <w:rPr>
          <w:sz w:val="28"/>
          <w:szCs w:val="14"/>
        </w:rPr>
        <w:t xml:space="preserve"/>
      </w:r>
    </w:p>
    <w:p w14:paraId="13EFD727" w14:textId="09DE0AB3" w:rsidR="00B949A2" w:rsidRPr="00427C86" w:rsidRDefault="00427C86">
      <w:pPr>
        <w:pStyle w:val="DocumentTitle"/>
      </w:pPr>
      <w:r w:rsidRPr="00427C86">
        <w:t>CSA Mentoring Unit Enterprise Architecture (A3)</w:t>
      </w:r>
    </w:p>
    <w:p w14:paraId="7AC9BB01" w14:textId="6DCF06FB" w:rsidR="00427C86" w:rsidRPr="00427C86" w:rsidRDefault="00427C86">
      <w:pPr>
        <w:pStyle w:val="DocumentTitle"/>
      </w:pPr>
      <w:r w:rsidRPr="00427C86">
        <w:t>Office of Student Mentoring (Mentoring Unit), Center for Student Affairs, University of Asia and the Pacific</w:t>
      </w:r>
    </w:p>
    <w:p w14:paraId="731DAC1C" w14:textId="20F7A56B" w:rsidR="00B949A2" w:rsidRDefault="00427C86" w:rsidP="005B6A15">
      <w:pPr>
        <w:pStyle w:val="BodyText"/>
      </w:pPr>
      <w:r>
        <w:t>Note: This document provides a generic template. It may require tailoring to suit a specific client and project situation.</w:t>
      </w:r>
    </w:p>
    <w:p w14:paraId="1C536785" w14:textId="12B09441" w:rsidR="00360A88" w:rsidRDefault="00B949A2" w:rsidP="00427C86">
      <w:pPr>
        <w:pStyle w:val="UnnumberedHeading"/>
      </w:pPr>
      <w:bookmarkStart w:id="0" w:name="pgfId-1018673"/>
      <w:bookmarkStart w:id="1" w:name="pgfId-1012362"/>
      <w:bookmarkStart w:id="2" w:name="pgfId-1012364"/>
      <w:bookmarkEnd w:id="0"/>
      <w:bookmarkEnd w:id="1"/>
      <w:bookmarkEnd w:id="2"/>
      <w:r>
        <w:br w:type="page"/>
      </w:r>
      <w:r w:rsidR="00427C86">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427C86" w:rsidRPr="004B4C9A" w14:paraId="185BBE51" w14:textId="77777777" w:rsidTr="00645CE8">
        <w:trPr>
          <w:tblHeader/>
        </w:trPr>
        <w:tc>
          <w:tcPr>
            <w:tcW w:w="936" w:type="dxa"/>
            <w:shd w:val="pct10" w:color="auto" w:fill="auto"/>
            <w:vAlign w:val="bottom"/>
          </w:tcPr>
          <w:p w14:paraId="10A5756A" w14:textId="77777777" w:rsidR="00427C86" w:rsidRPr="004B4C9A" w:rsidRDefault="00427C86" w:rsidP="00645CE8">
            <w:pPr>
              <w:pStyle w:val="TableText"/>
              <w:rPr>
                <w:b/>
                <w:color w:val="000000"/>
              </w:rPr>
            </w:pPr>
            <w:r w:rsidRPr="004B4C9A">
              <w:rPr>
                <w:b/>
                <w:color w:val="000000"/>
              </w:rPr>
              <w:t>Version</w:t>
            </w:r>
            <w:r w:rsidRPr="004B4C9A">
              <w:rPr>
                <w:b/>
                <w:color w:val="000000"/>
              </w:rPr>
              <w:br/>
              <w:t>Number</w:t>
            </w:r>
          </w:p>
        </w:tc>
        <w:tc>
          <w:tcPr>
            <w:tcW w:w="1032" w:type="dxa"/>
            <w:shd w:val="pct10" w:color="auto" w:fill="auto"/>
            <w:vAlign w:val="bottom"/>
          </w:tcPr>
          <w:p w14:paraId="36962376" w14:textId="77777777" w:rsidR="00427C86" w:rsidRPr="004B4C9A" w:rsidRDefault="00427C86" w:rsidP="00645CE8">
            <w:pPr>
              <w:pStyle w:val="TableText"/>
              <w:rPr>
                <w:b/>
                <w:color w:val="000000"/>
              </w:rPr>
            </w:pPr>
            <w:r w:rsidRPr="004B4C9A">
              <w:rPr>
                <w:b/>
                <w:color w:val="000000"/>
              </w:rPr>
              <w:t>Version</w:t>
            </w:r>
            <w:r w:rsidRPr="004B4C9A">
              <w:rPr>
                <w:b/>
                <w:color w:val="000000"/>
              </w:rPr>
              <w:br/>
              <w:t>Date</w:t>
            </w:r>
          </w:p>
        </w:tc>
        <w:tc>
          <w:tcPr>
            <w:tcW w:w="1368" w:type="dxa"/>
            <w:shd w:val="pct10" w:color="auto" w:fill="auto"/>
            <w:vAlign w:val="bottom"/>
          </w:tcPr>
          <w:p w14:paraId="38DB2DB0" w14:textId="77777777" w:rsidR="00427C86" w:rsidRPr="004B4C9A" w:rsidRDefault="00427C86" w:rsidP="00645CE8">
            <w:pPr>
              <w:pStyle w:val="TableText"/>
              <w:rPr>
                <w:b/>
                <w:color w:val="000000"/>
              </w:rPr>
            </w:pPr>
            <w:r w:rsidRPr="004B4C9A">
              <w:rPr>
                <w:b/>
                <w:color w:val="000000"/>
              </w:rPr>
              <w:t>Revised By</w:t>
            </w:r>
          </w:p>
        </w:tc>
        <w:tc>
          <w:tcPr>
            <w:tcW w:w="3960" w:type="dxa"/>
            <w:shd w:val="pct10" w:color="auto" w:fill="auto"/>
            <w:vAlign w:val="bottom"/>
          </w:tcPr>
          <w:p w14:paraId="4B748391" w14:textId="77777777" w:rsidR="00427C86" w:rsidRPr="004B4C9A" w:rsidRDefault="00427C86" w:rsidP="00645CE8">
            <w:pPr>
              <w:pStyle w:val="TableText"/>
              <w:rPr>
                <w:b/>
                <w:color w:val="000000"/>
              </w:rPr>
            </w:pPr>
            <w:r w:rsidRPr="004B4C9A">
              <w:rPr>
                <w:b/>
                <w:color w:val="000000"/>
              </w:rPr>
              <w:t>Description</w:t>
            </w:r>
          </w:p>
        </w:tc>
        <w:tc>
          <w:tcPr>
            <w:tcW w:w="2424" w:type="dxa"/>
            <w:shd w:val="pct10" w:color="auto" w:fill="auto"/>
            <w:vAlign w:val="bottom"/>
          </w:tcPr>
          <w:p w14:paraId="4FE82838" w14:textId="77777777" w:rsidR="00427C86" w:rsidRPr="004B4C9A" w:rsidRDefault="00427C86" w:rsidP="00645CE8">
            <w:pPr>
              <w:pStyle w:val="TableText"/>
              <w:rPr>
                <w:b/>
                <w:color w:val="000000"/>
              </w:rPr>
            </w:pPr>
            <w:r w:rsidRPr="004B4C9A">
              <w:rPr>
                <w:b/>
                <w:color w:val="000000"/>
              </w:rPr>
              <w:t>Filename</w:t>
            </w:r>
          </w:p>
        </w:tc>
      </w:tr>
      <w:tr w:rsidR="00427C86" w:rsidRPr="004B4C9A" w14:paraId="0CB7C2B2" w14:textId="77777777" w:rsidTr="00645CE8">
        <w:tc>
          <w:tcPr>
            <w:tcW w:w="936" w:type="dxa"/>
          </w:tcPr>
          <w:p w14:paraId="12A0F854" w14:textId="77777777" w:rsidR="00427C86" w:rsidRPr="004B4C9A" w:rsidRDefault="00427C86" w:rsidP="00645CE8">
            <w:pPr>
              <w:pStyle w:val="TableText"/>
              <w:rPr>
                <w:color w:val="000000"/>
              </w:rPr>
            </w:pPr>
          </w:p>
        </w:tc>
        <w:tc>
          <w:tcPr>
            <w:tcW w:w="1032" w:type="dxa"/>
          </w:tcPr>
          <w:p w14:paraId="44636C42" w14:textId="77777777" w:rsidR="00427C86" w:rsidRPr="004B4C9A" w:rsidRDefault="00427C86" w:rsidP="00645CE8">
            <w:pPr>
              <w:pStyle w:val="TableText"/>
              <w:rPr>
                <w:color w:val="000000"/>
              </w:rPr>
            </w:pPr>
          </w:p>
        </w:tc>
        <w:tc>
          <w:tcPr>
            <w:tcW w:w="1368" w:type="dxa"/>
          </w:tcPr>
          <w:p w14:paraId="353CED3B" w14:textId="77777777" w:rsidR="00427C86" w:rsidRPr="004B4C9A" w:rsidRDefault="00427C86" w:rsidP="00645CE8">
            <w:pPr>
              <w:pStyle w:val="TableText"/>
              <w:rPr>
                <w:color w:val="000000"/>
              </w:rPr>
            </w:pPr>
          </w:p>
        </w:tc>
        <w:tc>
          <w:tcPr>
            <w:tcW w:w="3960" w:type="dxa"/>
          </w:tcPr>
          <w:p w14:paraId="7D65AE52" w14:textId="77777777" w:rsidR="00427C86" w:rsidRPr="004B4C9A" w:rsidRDefault="00427C86" w:rsidP="00645CE8">
            <w:pPr>
              <w:pStyle w:val="TableText"/>
              <w:rPr>
                <w:color w:val="000000"/>
              </w:rPr>
            </w:pPr>
          </w:p>
        </w:tc>
        <w:tc>
          <w:tcPr>
            <w:tcW w:w="2424" w:type="dxa"/>
          </w:tcPr>
          <w:p w14:paraId="40DD8157" w14:textId="77777777" w:rsidR="00427C86" w:rsidRPr="004B4C9A" w:rsidRDefault="00427C86" w:rsidP="00645CE8">
            <w:pPr>
              <w:pStyle w:val="TableText"/>
              <w:rPr>
                <w:color w:val="000000"/>
              </w:rPr>
            </w:pPr>
          </w:p>
        </w:tc>
      </w:tr>
      <w:tr w:rsidR="00427C86" w:rsidRPr="004B4C9A" w14:paraId="5DE50106" w14:textId="77777777" w:rsidTr="00645CE8">
        <w:tc>
          <w:tcPr>
            <w:tcW w:w="936" w:type="dxa"/>
          </w:tcPr>
          <w:p w14:paraId="00B4E336" w14:textId="77777777" w:rsidR="00427C86" w:rsidRPr="004B4C9A" w:rsidRDefault="00427C86" w:rsidP="00645CE8">
            <w:pPr>
              <w:pStyle w:val="TableText"/>
              <w:rPr>
                <w:color w:val="000000"/>
              </w:rPr>
            </w:pPr>
          </w:p>
        </w:tc>
        <w:tc>
          <w:tcPr>
            <w:tcW w:w="1032" w:type="dxa"/>
          </w:tcPr>
          <w:p w14:paraId="367D391A" w14:textId="77777777" w:rsidR="00427C86" w:rsidRPr="004B4C9A" w:rsidRDefault="00427C86" w:rsidP="00645CE8">
            <w:pPr>
              <w:pStyle w:val="TableText"/>
              <w:rPr>
                <w:color w:val="000000"/>
              </w:rPr>
            </w:pPr>
          </w:p>
        </w:tc>
        <w:tc>
          <w:tcPr>
            <w:tcW w:w="1368" w:type="dxa"/>
          </w:tcPr>
          <w:p w14:paraId="7D0473E8" w14:textId="77777777" w:rsidR="00427C86" w:rsidRPr="004B4C9A" w:rsidRDefault="00427C86" w:rsidP="00645CE8">
            <w:pPr>
              <w:pStyle w:val="TableText"/>
              <w:rPr>
                <w:color w:val="000000"/>
              </w:rPr>
            </w:pPr>
          </w:p>
        </w:tc>
        <w:tc>
          <w:tcPr>
            <w:tcW w:w="3960" w:type="dxa"/>
          </w:tcPr>
          <w:p w14:paraId="2EDF924E" w14:textId="77777777" w:rsidR="00427C86" w:rsidRPr="004B4C9A" w:rsidRDefault="00427C86" w:rsidP="00645CE8">
            <w:pPr>
              <w:pStyle w:val="TableText"/>
              <w:rPr>
                <w:color w:val="000000"/>
              </w:rPr>
            </w:pPr>
          </w:p>
        </w:tc>
        <w:tc>
          <w:tcPr>
            <w:tcW w:w="2424" w:type="dxa"/>
          </w:tcPr>
          <w:p w14:paraId="51FC7A19" w14:textId="77777777" w:rsidR="00427C86" w:rsidRPr="004B4C9A" w:rsidRDefault="00427C86" w:rsidP="00645CE8">
            <w:pPr>
              <w:pStyle w:val="TableText"/>
              <w:rPr>
                <w:color w:val="000000"/>
              </w:rPr>
            </w:pPr>
          </w:p>
        </w:tc>
      </w:tr>
    </w:tbl>
    <w:p w14:paraId="65957C7D" w14:textId="77777777" w:rsidR="00427C86" w:rsidRPr="00427C86" w:rsidRDefault="00427C86" w:rsidP="00427C86"/>
    <w:p w14:paraId="21A7C6EE" w14:textId="77777777" w:rsidR="00B949A2" w:rsidRDefault="00B949A2">
      <w:pPr>
        <w:pStyle w:val="FrontmatterHeading"/>
      </w:pPr>
      <w:bookmarkStart w:id="3" w:name="pgfId-1018674"/>
      <w:bookmarkStart w:id="4" w:name="_Toc97190424"/>
      <w:bookmarkEnd w:id="3"/>
      <w:r>
        <w:lastRenderedPageBreak/>
        <w:t>Contents</w:t>
      </w:r>
      <w:bookmarkEnd w:id="4"/>
    </w:p>
    <w:p w14:paraId="67CB9341" w14:textId="6F5F7D24" w:rsidR="005B6A15"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98805" w:history="1">
        <w:r w:rsidR="005B6A15" w:rsidRPr="005755A7">
          <w:rPr>
            <w:rStyle w:val="Hyperlink"/>
            <w:rFonts w:ascii="Arial" w:hAnsi="Arial"/>
          </w:rPr>
          <w:t>1.</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Purpose of this Document</w:t>
        </w:r>
        <w:r w:rsidR="005B6A15">
          <w:rPr>
            <w:webHidden/>
          </w:rPr>
          <w:tab/>
        </w:r>
        <w:r w:rsidR="005B6A15">
          <w:rPr>
            <w:webHidden/>
          </w:rPr>
          <w:fldChar w:fldCharType="begin"/>
        </w:r>
        <w:r w:rsidR="005B6A15">
          <w:rPr>
            <w:webHidden/>
          </w:rPr>
          <w:instrText xml:space="preserve"> PAGEREF _Toc170898805 \h </w:instrText>
        </w:r>
        <w:r w:rsidR="005B6A15">
          <w:rPr>
            <w:webHidden/>
          </w:rPr>
        </w:r>
        <w:r w:rsidR="005B6A15">
          <w:rPr>
            <w:webHidden/>
          </w:rPr>
          <w:fldChar w:fldCharType="separate"/>
        </w:r>
        <w:r w:rsidR="005B6A15">
          <w:rPr>
            <w:webHidden/>
          </w:rPr>
          <w:t>4</w:t>
        </w:r>
        <w:r w:rsidR="005B6A15">
          <w:rPr>
            <w:webHidden/>
          </w:rPr>
          <w:fldChar w:fldCharType="end"/>
        </w:r>
      </w:hyperlink>
    </w:p>
    <w:p w14:paraId="07DD16E2" w14:textId="66C3FECE"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06" w:history="1">
        <w:r w:rsidR="005B6A15" w:rsidRPr="005755A7">
          <w:rPr>
            <w:rStyle w:val="Hyperlink"/>
          </w:rPr>
          <w:t>1.1</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shd w:val="clear" w:color="auto" w:fill="FFFFFF"/>
          </w:rPr>
          <w:t>Output and Input</w:t>
        </w:r>
        <w:r w:rsidR="005B6A15">
          <w:rPr>
            <w:webHidden/>
          </w:rPr>
          <w:tab/>
        </w:r>
        <w:r w:rsidR="005B6A15">
          <w:rPr>
            <w:webHidden/>
          </w:rPr>
          <w:fldChar w:fldCharType="begin"/>
        </w:r>
        <w:r w:rsidR="005B6A15">
          <w:rPr>
            <w:webHidden/>
          </w:rPr>
          <w:instrText xml:space="preserve"> PAGEREF _Toc170898806 \h </w:instrText>
        </w:r>
        <w:r w:rsidR="005B6A15">
          <w:rPr>
            <w:webHidden/>
          </w:rPr>
        </w:r>
        <w:r w:rsidR="005B6A15">
          <w:rPr>
            <w:webHidden/>
          </w:rPr>
          <w:fldChar w:fldCharType="separate"/>
        </w:r>
        <w:r w:rsidR="005B6A15">
          <w:rPr>
            <w:webHidden/>
          </w:rPr>
          <w:t>4</w:t>
        </w:r>
        <w:r w:rsidR="005B6A15">
          <w:rPr>
            <w:webHidden/>
          </w:rPr>
          <w:fldChar w:fldCharType="end"/>
        </w:r>
      </w:hyperlink>
    </w:p>
    <w:p w14:paraId="47C38FA7" w14:textId="4F746ED7" w:rsidR="005B6A15"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807" w:history="1">
        <w:r w:rsidR="005B6A15" w:rsidRPr="005755A7">
          <w:rPr>
            <w:rStyle w:val="Hyperlink"/>
            <w:rFonts w:ascii="Arial" w:hAnsi="Arial"/>
          </w:rPr>
          <w:t>2.</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Architecture Requirements</w:t>
        </w:r>
        <w:r w:rsidR="005B6A15">
          <w:rPr>
            <w:webHidden/>
          </w:rPr>
          <w:tab/>
        </w:r>
        <w:r w:rsidR="005B6A15">
          <w:rPr>
            <w:webHidden/>
          </w:rPr>
          <w:fldChar w:fldCharType="begin"/>
        </w:r>
        <w:r w:rsidR="005B6A15">
          <w:rPr>
            <w:webHidden/>
          </w:rPr>
          <w:instrText xml:space="preserve"> PAGEREF _Toc170898807 \h </w:instrText>
        </w:r>
        <w:r w:rsidR="005B6A15">
          <w:rPr>
            <w:webHidden/>
          </w:rPr>
        </w:r>
        <w:r w:rsidR="005B6A15">
          <w:rPr>
            <w:webHidden/>
          </w:rPr>
          <w:fldChar w:fldCharType="separate"/>
        </w:r>
        <w:r w:rsidR="005B6A15">
          <w:rPr>
            <w:webHidden/>
          </w:rPr>
          <w:t>5</w:t>
        </w:r>
        <w:r w:rsidR="005B6A15">
          <w:rPr>
            <w:webHidden/>
          </w:rPr>
          <w:fldChar w:fldCharType="end"/>
        </w:r>
      </w:hyperlink>
    </w:p>
    <w:p w14:paraId="346AD24F" w14:textId="7A03C676"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08" w:history="1">
        <w:r w:rsidR="005B6A15" w:rsidRPr="005755A7">
          <w:rPr>
            <w:rStyle w:val="Hyperlink"/>
            <w:lang w:val="en-GB" w:eastAsia="en-GB"/>
          </w:rPr>
          <w:t>2.1</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Success Measures</w:t>
        </w:r>
        <w:r w:rsidR="005B6A15">
          <w:rPr>
            <w:webHidden/>
          </w:rPr>
          <w:tab/>
        </w:r>
        <w:r w:rsidR="005B6A15">
          <w:rPr>
            <w:webHidden/>
          </w:rPr>
          <w:fldChar w:fldCharType="begin"/>
        </w:r>
        <w:r w:rsidR="005B6A15">
          <w:rPr>
            <w:webHidden/>
          </w:rPr>
          <w:instrText xml:space="preserve"> PAGEREF _Toc170898808 \h </w:instrText>
        </w:r>
        <w:r w:rsidR="005B6A15">
          <w:rPr>
            <w:webHidden/>
          </w:rPr>
        </w:r>
        <w:r w:rsidR="005B6A15">
          <w:rPr>
            <w:webHidden/>
          </w:rPr>
          <w:fldChar w:fldCharType="separate"/>
        </w:r>
        <w:r w:rsidR="005B6A15">
          <w:rPr>
            <w:webHidden/>
          </w:rPr>
          <w:t>5</w:t>
        </w:r>
        <w:r w:rsidR="005B6A15">
          <w:rPr>
            <w:webHidden/>
          </w:rPr>
          <w:fldChar w:fldCharType="end"/>
        </w:r>
      </w:hyperlink>
    </w:p>
    <w:p w14:paraId="0112F5F9" w14:textId="25D3C1CD"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09" w:history="1">
        <w:r w:rsidR="005B6A15" w:rsidRPr="005755A7">
          <w:rPr>
            <w:rStyle w:val="Hyperlink"/>
          </w:rPr>
          <w:t>2.2</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Business Service Contracts</w:t>
        </w:r>
        <w:r w:rsidR="005B6A15">
          <w:rPr>
            <w:webHidden/>
          </w:rPr>
          <w:tab/>
        </w:r>
        <w:r w:rsidR="005B6A15">
          <w:rPr>
            <w:webHidden/>
          </w:rPr>
          <w:fldChar w:fldCharType="begin"/>
        </w:r>
        <w:r w:rsidR="005B6A15">
          <w:rPr>
            <w:webHidden/>
          </w:rPr>
          <w:instrText xml:space="preserve"> PAGEREF _Toc170898809 \h </w:instrText>
        </w:r>
        <w:r w:rsidR="005B6A15">
          <w:rPr>
            <w:webHidden/>
          </w:rPr>
        </w:r>
        <w:r w:rsidR="005B6A15">
          <w:rPr>
            <w:webHidden/>
          </w:rPr>
          <w:fldChar w:fldCharType="separate"/>
        </w:r>
        <w:r w:rsidR="005B6A15">
          <w:rPr>
            <w:webHidden/>
          </w:rPr>
          <w:t>5</w:t>
        </w:r>
        <w:r w:rsidR="005B6A15">
          <w:rPr>
            <w:webHidden/>
          </w:rPr>
          <w:fldChar w:fldCharType="end"/>
        </w:r>
      </w:hyperlink>
    </w:p>
    <w:p w14:paraId="4F72F9B1" w14:textId="33EAACB0"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0" w:history="1">
        <w:r w:rsidR="005B6A15" w:rsidRPr="005755A7">
          <w:rPr>
            <w:rStyle w:val="Hyperlink"/>
          </w:rPr>
          <w:t>2.3</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Application Service Contracts</w:t>
        </w:r>
        <w:r w:rsidR="005B6A15">
          <w:rPr>
            <w:webHidden/>
          </w:rPr>
          <w:tab/>
        </w:r>
        <w:r w:rsidR="005B6A15">
          <w:rPr>
            <w:webHidden/>
          </w:rPr>
          <w:fldChar w:fldCharType="begin"/>
        </w:r>
        <w:r w:rsidR="005B6A15">
          <w:rPr>
            <w:webHidden/>
          </w:rPr>
          <w:instrText xml:space="preserve"> PAGEREF _Toc170898810 \h </w:instrText>
        </w:r>
        <w:r w:rsidR="005B6A15">
          <w:rPr>
            <w:webHidden/>
          </w:rPr>
        </w:r>
        <w:r w:rsidR="005B6A15">
          <w:rPr>
            <w:webHidden/>
          </w:rPr>
          <w:fldChar w:fldCharType="separate"/>
        </w:r>
        <w:r w:rsidR="005B6A15">
          <w:rPr>
            <w:webHidden/>
          </w:rPr>
          <w:t>5</w:t>
        </w:r>
        <w:r w:rsidR="005B6A15">
          <w:rPr>
            <w:webHidden/>
          </w:rPr>
          <w:fldChar w:fldCharType="end"/>
        </w:r>
      </w:hyperlink>
    </w:p>
    <w:p w14:paraId="08E1E9E6" w14:textId="7F3319EB"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1" w:history="1">
        <w:r w:rsidR="005B6A15" w:rsidRPr="005755A7">
          <w:rPr>
            <w:rStyle w:val="Hyperlink"/>
          </w:rPr>
          <w:t>2.4</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Implementation Guidelines</w:t>
        </w:r>
        <w:r w:rsidR="005B6A15">
          <w:rPr>
            <w:webHidden/>
          </w:rPr>
          <w:tab/>
        </w:r>
        <w:r w:rsidR="005B6A15">
          <w:rPr>
            <w:webHidden/>
          </w:rPr>
          <w:fldChar w:fldCharType="begin"/>
        </w:r>
        <w:r w:rsidR="005B6A15">
          <w:rPr>
            <w:webHidden/>
          </w:rPr>
          <w:instrText xml:space="preserve"> PAGEREF _Toc170898811 \h </w:instrText>
        </w:r>
        <w:r w:rsidR="005B6A15">
          <w:rPr>
            <w:webHidden/>
          </w:rPr>
        </w:r>
        <w:r w:rsidR="005B6A15">
          <w:rPr>
            <w:webHidden/>
          </w:rPr>
          <w:fldChar w:fldCharType="separate"/>
        </w:r>
        <w:r w:rsidR="005B6A15">
          <w:rPr>
            <w:webHidden/>
          </w:rPr>
          <w:t>5</w:t>
        </w:r>
        <w:r w:rsidR="005B6A15">
          <w:rPr>
            <w:webHidden/>
          </w:rPr>
          <w:fldChar w:fldCharType="end"/>
        </w:r>
      </w:hyperlink>
    </w:p>
    <w:p w14:paraId="5DD6DF64" w14:textId="5D30FA4D"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2" w:history="1">
        <w:r w:rsidR="005B6A15" w:rsidRPr="005755A7">
          <w:rPr>
            <w:rStyle w:val="Hyperlink"/>
          </w:rPr>
          <w:t>2.5</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Implementation Specifications</w:t>
        </w:r>
        <w:r w:rsidR="005B6A15">
          <w:rPr>
            <w:webHidden/>
          </w:rPr>
          <w:tab/>
        </w:r>
        <w:r w:rsidR="005B6A15">
          <w:rPr>
            <w:webHidden/>
          </w:rPr>
          <w:fldChar w:fldCharType="begin"/>
        </w:r>
        <w:r w:rsidR="005B6A15">
          <w:rPr>
            <w:webHidden/>
          </w:rPr>
          <w:instrText xml:space="preserve"> PAGEREF _Toc170898812 \h </w:instrText>
        </w:r>
        <w:r w:rsidR="005B6A15">
          <w:rPr>
            <w:webHidden/>
          </w:rPr>
        </w:r>
        <w:r w:rsidR="005B6A15">
          <w:rPr>
            <w:webHidden/>
          </w:rPr>
          <w:fldChar w:fldCharType="separate"/>
        </w:r>
        <w:r w:rsidR="005B6A15">
          <w:rPr>
            <w:webHidden/>
          </w:rPr>
          <w:t>5</w:t>
        </w:r>
        <w:r w:rsidR="005B6A15">
          <w:rPr>
            <w:webHidden/>
          </w:rPr>
          <w:fldChar w:fldCharType="end"/>
        </w:r>
      </w:hyperlink>
    </w:p>
    <w:p w14:paraId="1744DA12" w14:textId="507DB33A"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3" w:history="1">
        <w:r w:rsidR="005B6A15" w:rsidRPr="005755A7">
          <w:rPr>
            <w:rStyle w:val="Hyperlink"/>
          </w:rPr>
          <w:t>2.6</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Implementation Standards</w:t>
        </w:r>
        <w:r w:rsidR="005B6A15">
          <w:rPr>
            <w:webHidden/>
          </w:rPr>
          <w:tab/>
        </w:r>
        <w:r w:rsidR="005B6A15">
          <w:rPr>
            <w:webHidden/>
          </w:rPr>
          <w:fldChar w:fldCharType="begin"/>
        </w:r>
        <w:r w:rsidR="005B6A15">
          <w:rPr>
            <w:webHidden/>
          </w:rPr>
          <w:instrText xml:space="preserve"> PAGEREF _Toc170898813 \h </w:instrText>
        </w:r>
        <w:r w:rsidR="005B6A15">
          <w:rPr>
            <w:webHidden/>
          </w:rPr>
        </w:r>
        <w:r w:rsidR="005B6A15">
          <w:rPr>
            <w:webHidden/>
          </w:rPr>
          <w:fldChar w:fldCharType="separate"/>
        </w:r>
        <w:r w:rsidR="005B6A15">
          <w:rPr>
            <w:webHidden/>
          </w:rPr>
          <w:t>5</w:t>
        </w:r>
        <w:r w:rsidR="005B6A15">
          <w:rPr>
            <w:webHidden/>
          </w:rPr>
          <w:fldChar w:fldCharType="end"/>
        </w:r>
      </w:hyperlink>
    </w:p>
    <w:p w14:paraId="476E96BE" w14:textId="363F8CD3"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4" w:history="1">
        <w:r w:rsidR="005B6A15" w:rsidRPr="005755A7">
          <w:rPr>
            <w:rStyle w:val="Hyperlink"/>
          </w:rPr>
          <w:t>2.7</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Interoperability Requirements</w:t>
        </w:r>
        <w:r w:rsidR="005B6A15">
          <w:rPr>
            <w:webHidden/>
          </w:rPr>
          <w:tab/>
        </w:r>
        <w:r w:rsidR="005B6A15">
          <w:rPr>
            <w:webHidden/>
          </w:rPr>
          <w:fldChar w:fldCharType="begin"/>
        </w:r>
        <w:r w:rsidR="005B6A15">
          <w:rPr>
            <w:webHidden/>
          </w:rPr>
          <w:instrText xml:space="preserve"> PAGEREF _Toc170898814 \h </w:instrText>
        </w:r>
        <w:r w:rsidR="005B6A15">
          <w:rPr>
            <w:webHidden/>
          </w:rPr>
        </w:r>
        <w:r w:rsidR="005B6A15">
          <w:rPr>
            <w:webHidden/>
          </w:rPr>
          <w:fldChar w:fldCharType="separate"/>
        </w:r>
        <w:r w:rsidR="005B6A15">
          <w:rPr>
            <w:webHidden/>
          </w:rPr>
          <w:t>5</w:t>
        </w:r>
        <w:r w:rsidR="005B6A15">
          <w:rPr>
            <w:webHidden/>
          </w:rPr>
          <w:fldChar w:fldCharType="end"/>
        </w:r>
      </w:hyperlink>
    </w:p>
    <w:p w14:paraId="7899C552" w14:textId="3E4E6208"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5" w:history="1">
        <w:r w:rsidR="005B6A15" w:rsidRPr="005755A7">
          <w:rPr>
            <w:rStyle w:val="Hyperlink"/>
          </w:rPr>
          <w:t>2.8</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IT Service Management Requirements</w:t>
        </w:r>
        <w:r w:rsidR="005B6A15">
          <w:rPr>
            <w:webHidden/>
          </w:rPr>
          <w:tab/>
        </w:r>
        <w:r w:rsidR="005B6A15">
          <w:rPr>
            <w:webHidden/>
          </w:rPr>
          <w:fldChar w:fldCharType="begin"/>
        </w:r>
        <w:r w:rsidR="005B6A15">
          <w:rPr>
            <w:webHidden/>
          </w:rPr>
          <w:instrText xml:space="preserve"> PAGEREF _Toc170898815 \h </w:instrText>
        </w:r>
        <w:r w:rsidR="005B6A15">
          <w:rPr>
            <w:webHidden/>
          </w:rPr>
        </w:r>
        <w:r w:rsidR="005B6A15">
          <w:rPr>
            <w:webHidden/>
          </w:rPr>
          <w:fldChar w:fldCharType="separate"/>
        </w:r>
        <w:r w:rsidR="005B6A15">
          <w:rPr>
            <w:webHidden/>
          </w:rPr>
          <w:t>5</w:t>
        </w:r>
        <w:r w:rsidR="005B6A15">
          <w:rPr>
            <w:webHidden/>
          </w:rPr>
          <w:fldChar w:fldCharType="end"/>
        </w:r>
      </w:hyperlink>
    </w:p>
    <w:p w14:paraId="3E33D3E0" w14:textId="32222B99"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6" w:history="1">
        <w:r w:rsidR="005B6A15" w:rsidRPr="005755A7">
          <w:rPr>
            <w:rStyle w:val="Hyperlink"/>
          </w:rPr>
          <w:t>2.9</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Constraints</w:t>
        </w:r>
        <w:r w:rsidR="005B6A15">
          <w:rPr>
            <w:webHidden/>
          </w:rPr>
          <w:tab/>
        </w:r>
        <w:r w:rsidR="005B6A15">
          <w:rPr>
            <w:webHidden/>
          </w:rPr>
          <w:fldChar w:fldCharType="begin"/>
        </w:r>
        <w:r w:rsidR="005B6A15">
          <w:rPr>
            <w:webHidden/>
          </w:rPr>
          <w:instrText xml:space="preserve"> PAGEREF _Toc170898816 \h </w:instrText>
        </w:r>
        <w:r w:rsidR="005B6A15">
          <w:rPr>
            <w:webHidden/>
          </w:rPr>
        </w:r>
        <w:r w:rsidR="005B6A15">
          <w:rPr>
            <w:webHidden/>
          </w:rPr>
          <w:fldChar w:fldCharType="separate"/>
        </w:r>
        <w:r w:rsidR="005B6A15">
          <w:rPr>
            <w:webHidden/>
          </w:rPr>
          <w:t>5</w:t>
        </w:r>
        <w:r w:rsidR="005B6A15">
          <w:rPr>
            <w:webHidden/>
          </w:rPr>
          <w:fldChar w:fldCharType="end"/>
        </w:r>
      </w:hyperlink>
    </w:p>
    <w:p w14:paraId="6554003B" w14:textId="4B559572" w:rsidR="005B6A15"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817" w:history="1">
        <w:r w:rsidR="005B6A15" w:rsidRPr="005755A7">
          <w:rPr>
            <w:rStyle w:val="Hyperlink"/>
          </w:rPr>
          <w:t>2.10</w:t>
        </w:r>
        <w:r w:rsidR="005B6A15">
          <w:rPr>
            <w:rFonts w:asciiTheme="minorHAnsi" w:eastAsiaTheme="minorEastAsia" w:hAnsiTheme="minorHAnsi" w:cstheme="minorBidi"/>
            <w:kern w:val="2"/>
            <w:sz w:val="24"/>
            <w:szCs w:val="24"/>
            <w:lang w:val="en-GB" w:eastAsia="en-GB"/>
            <w14:ligatures w14:val="standardContextual"/>
          </w:rPr>
          <w:tab/>
        </w:r>
        <w:r w:rsidR="005B6A15" w:rsidRPr="005755A7">
          <w:rPr>
            <w:rStyle w:val="Hyperlink"/>
          </w:rPr>
          <w:t>Assumptions</w:t>
        </w:r>
        <w:r w:rsidR="005B6A15">
          <w:rPr>
            <w:webHidden/>
          </w:rPr>
          <w:tab/>
        </w:r>
        <w:r w:rsidR="005B6A15">
          <w:rPr>
            <w:webHidden/>
          </w:rPr>
          <w:fldChar w:fldCharType="begin"/>
        </w:r>
        <w:r w:rsidR="005B6A15">
          <w:rPr>
            <w:webHidden/>
          </w:rPr>
          <w:instrText xml:space="preserve"> PAGEREF _Toc170898817 \h </w:instrText>
        </w:r>
        <w:r w:rsidR="005B6A15">
          <w:rPr>
            <w:webHidden/>
          </w:rPr>
        </w:r>
        <w:r w:rsidR="005B6A15">
          <w:rPr>
            <w:webHidden/>
          </w:rPr>
          <w:fldChar w:fldCharType="separate"/>
        </w:r>
        <w:r w:rsidR="005B6A15">
          <w:rPr>
            <w:webHidden/>
          </w:rPr>
          <w:t>5</w:t>
        </w:r>
        <w:r w:rsidR="005B6A15">
          <w:rPr>
            <w:webHidden/>
          </w:rPr>
          <w:fldChar w:fldCharType="end"/>
        </w:r>
      </w:hyperlink>
    </w:p>
    <w:p w14:paraId="19A74C99" w14:textId="6299B8B0" w:rsidR="00B949A2" w:rsidRDefault="003F7008" w:rsidP="00427C86">
      <w:pPr>
        <w:pStyle w:val="UnnumberedHeading"/>
        <w:rPr>
          <w:noProof/>
        </w:rPr>
      </w:pPr>
      <w:r>
        <w:rPr>
          <w:noProof/>
        </w:rPr>
        <w:fldChar w:fldCharType="end"/>
      </w:r>
      <w:r w:rsidR="00427C86">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427C86" w:rsidRPr="004B4C9A" w14:paraId="72B107FD" w14:textId="77777777" w:rsidTr="00427C86">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AD0BA1C" w14:textId="092BBAE7" w:rsidR="00427C86" w:rsidRPr="004B4C9A" w:rsidRDefault="00427C86" w:rsidP="00645CE8">
            <w:pPr>
              <w:pStyle w:val="TableText"/>
              <w:rPr>
                <w:b/>
              </w:rPr>
            </w:pPr>
            <w:r w:rsidRPr="004B4C9A">
              <w:rPr>
                <w:b/>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24808D14" w14:textId="77777777" w:rsidR="00427C86" w:rsidRPr="004B4C9A" w:rsidRDefault="00427C86" w:rsidP="00645CE8">
            <w:pPr>
              <w:pStyle w:val="TableText"/>
            </w:pPr>
            <w:r w:rsidRPr="004B4C9A">
              <w:t>CSA Mentoring Unit Enterprise Architecture (A3)</w:t>
            </w:r>
          </w:p>
        </w:tc>
      </w:tr>
      <w:tr w:rsidR="00427C86" w:rsidRPr="004B4C9A" w14:paraId="13545394" w14:textId="77777777" w:rsidTr="00427C86">
        <w:trPr>
          <w:trHeight w:val="236"/>
        </w:trPr>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CCD42A0" w14:textId="7C99E2BA" w:rsidR="00427C86" w:rsidRPr="004B4C9A" w:rsidRDefault="00427C86" w:rsidP="00645CE8">
            <w:pPr>
              <w:pStyle w:val="TableText"/>
              <w:rPr>
                <w:b/>
              </w:rPr>
            </w:pPr>
            <w:r w:rsidRPr="004B4C9A">
              <w:rPr>
                <w:b/>
              </w:rPr>
              <w:t>Document Version No</w:t>
            </w:r>
            <w:r w:rsidR="005B6A15">
              <w:rPr>
                <w:b/>
              </w:rPr>
              <w:t>.</w:t>
            </w:r>
          </w:p>
        </w:tc>
        <w:tc>
          <w:tcPr>
            <w:gridSpan w:val="3"/>
            <w:tcW w:w="1141" w:type="dxa"/>
            <w:tcBorders>
              <w:top w:val="single" w:sz="2" w:space="0" w:color="808080"/>
              <w:left w:val="single" w:sz="2" w:space="0" w:color="808080"/>
              <w:bottom w:val="single" w:sz="2" w:space="0" w:color="808080"/>
              <w:right w:val="single" w:sz="2" w:space="0" w:color="808080"/>
            </w:tcBorders>
          </w:tcPr>
          <w:p w14:paraId="4981CAF7" w14:textId="77777777" w:rsidR="00427C86" w:rsidRPr="004B4C9A" w:rsidRDefault="00000000" w:rsidP="00645CE8">
            <w:pPr>
              <w:pStyle w:val="TableText"/>
            </w:pPr>
            <w:fldSimple w:instr=" DOCPROPERTY &quot;Doc_Ver_Num&quot;  \* MERGEFORMAT "/>
            <w:r>
              <w:t xml:space="preserve">0.1</w:t>
            </w:r>
          </w:p>
        </w:tc>
      </w:tr>
      <w:tr w:rsidR="00427C86" w:rsidRPr="004B4C9A" w14:paraId="6AEDDAA6" w14:textId="77777777" w:rsidTr="00427C86">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517132F" w14:textId="4518B2EC" w:rsidR="00427C86" w:rsidRPr="004B4C9A" w:rsidRDefault="00427C86" w:rsidP="00645CE8">
            <w:pPr>
              <w:pStyle w:val="TableText"/>
              <w:rPr>
                <w:b/>
              </w:rPr>
            </w:pPr>
            <w:r w:rsidRPr="004B4C9A">
              <w:rPr>
                <w:b/>
              </w:rPr>
              <w:t>Title</w:t>
            </w:r>
          </w:p>
        </w:tc>
        <w:tc>
          <w:tcPr>
            <w:tcW w:w="4205" w:type="dxa"/>
            <w:tcBorders>
              <w:top w:val="single" w:sz="2" w:space="0" w:color="808080"/>
              <w:left w:val="single" w:sz="2" w:space="0" w:color="808080"/>
              <w:bottom w:val="single" w:sz="2" w:space="0" w:color="808080"/>
              <w:right w:val="single" w:sz="2" w:space="0" w:color="808080"/>
            </w:tcBorders>
          </w:tcPr>
          <w:p w14:paraId="0147B151" w14:textId="77777777" w:rsidR="00427C86" w:rsidRPr="004B4C9A" w:rsidRDefault="00427C86" w:rsidP="00645CE8">
            <w:pPr>
              <w:pStyle w:val="TableText"/>
            </w:pPr>
            <w:r>
              <w:t>Architecture Requirements Specification</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66A2F97" w14:textId="0BEE01CA" w:rsidR="00427C86" w:rsidRPr="004B4C9A" w:rsidRDefault="00427C86" w:rsidP="00645CE8">
            <w:pPr>
              <w:pStyle w:val="TableText"/>
              <w:rPr>
                <w:b/>
              </w:rPr>
            </w:pPr>
            <w:r w:rsidRPr="004B4C9A">
              <w:rPr>
                <w:b/>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22B0926B" w14:textId="77777777" w:rsidR="00427C86" w:rsidRPr="004B4C9A" w:rsidRDefault="00427C86" w:rsidP="00645CE8">
            <w:pPr>
              <w:pStyle w:val="TableText"/>
            </w:pPr>
            <w:r>
              <w:t xml:space="preserve">2026-10-30</w:t>
            </w:r>
          </w:p>
        </w:tc>
      </w:tr>
      <w:tr w:rsidR="00427C86" w:rsidRPr="004B4C9A" w14:paraId="0A311540" w14:textId="77777777" w:rsidTr="00427C86">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1EA12F5" w14:textId="5F94D595" w:rsidR="00427C86" w:rsidRPr="004B4C9A" w:rsidRDefault="00427C86" w:rsidP="00645CE8">
            <w:pPr>
              <w:pStyle w:val="TableText"/>
              <w:rPr>
                <w:b/>
              </w:rPr>
            </w:pPr>
            <w:r w:rsidRPr="004B4C9A">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4BE61632" w14:textId="77777777" w:rsidR="00427C86" w:rsidRPr="004B4C9A" w:rsidRDefault="00427C86" w:rsidP="00645CE8">
            <w:pPr>
              <w:pStyle w:val="TableText"/>
            </w:pPr>
            <w:r>
              <w:t xml:space="preserve">Pending: Emmanuel Velasco, Deejay Clark Datu</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4EE6A28" w14:textId="44C75B1B" w:rsidR="00427C86" w:rsidRPr="004B4C9A" w:rsidRDefault="00427C86" w:rsidP="00645CE8">
            <w:pPr>
              <w:pStyle w:val="TableText"/>
              <w:rPr>
                <w:b/>
              </w:rPr>
            </w:pPr>
            <w:r w:rsidRPr="004B4C9A">
              <w:rPr>
                <w:b/>
              </w:rPr>
              <w:t>Review Date</w:t>
            </w:r>
          </w:p>
        </w:tc>
        <w:tc>
          <w:tcPr>
            <w:tcW w:w="1141" w:type="dxa"/>
            <w:tcBorders>
              <w:top w:val="single" w:sz="2" w:space="0" w:color="808080"/>
              <w:left w:val="single" w:sz="2" w:space="0" w:color="808080"/>
              <w:bottom w:val="single" w:sz="2" w:space="0" w:color="808080"/>
              <w:right w:val="single" w:sz="2" w:space="0" w:color="808080"/>
            </w:tcBorders>
          </w:tcPr>
          <w:p w14:paraId="596B733F" w14:textId="77777777" w:rsidR="00427C86" w:rsidRPr="004B4C9A" w:rsidRDefault="00427C86" w:rsidP="00645CE8">
            <w:pPr>
              <w:pStyle w:val="TableText"/>
            </w:pPr>
          </w:p>
        </w:tc>
      </w:tr>
    </w:tbl>
    <w:p w14:paraId="1808F82B" w14:textId="77777777" w:rsidR="00427C86" w:rsidRPr="004B4C9A" w:rsidRDefault="00427C86" w:rsidP="00427C86">
      <w:pPr>
        <w:pStyle w:val="UnnumberedHeading"/>
        <w:rPr>
          <w:rFonts w:cs="Times New Roman"/>
        </w:rPr>
      </w:pPr>
      <w:bookmarkStart w:id="5" w:name="hp_DistributionList"/>
      <w:r w:rsidRPr="004B4C9A">
        <w:rPr>
          <w:rFonts w:cs="Times New Roman"/>
        </w:rP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427C86" w:rsidRPr="004B4C9A" w14:paraId="67003ECD" w14:textId="77777777" w:rsidTr="00427C86">
        <w:trPr>
          <w:tblHeader/>
        </w:trPr>
        <w:tc>
          <w:tcPr>
            <w:tcW w:w="4224" w:type="dxa"/>
            <w:shd w:val="pct10" w:color="auto" w:fill="auto"/>
          </w:tcPr>
          <w:p w14:paraId="2B253AC7" w14:textId="77777777" w:rsidR="00427C86" w:rsidRPr="004B4C9A" w:rsidRDefault="00427C86" w:rsidP="00645CE8">
            <w:pPr>
              <w:pStyle w:val="TableText"/>
              <w:rPr>
                <w:b/>
              </w:rPr>
            </w:pPr>
            <w:r w:rsidRPr="004B4C9A">
              <w:rPr>
                <w:b/>
              </w:rPr>
              <w:t>From</w:t>
            </w:r>
          </w:p>
        </w:tc>
        <w:tc>
          <w:tcPr>
            <w:tcW w:w="1488" w:type="dxa"/>
            <w:shd w:val="pct10" w:color="auto" w:fill="auto"/>
          </w:tcPr>
          <w:p w14:paraId="4E4C9DC3" w14:textId="77777777" w:rsidR="00427C86" w:rsidRPr="004B4C9A" w:rsidRDefault="00427C86" w:rsidP="00645CE8">
            <w:pPr>
              <w:pStyle w:val="TableText"/>
              <w:rPr>
                <w:b/>
              </w:rPr>
            </w:pPr>
            <w:r w:rsidRPr="004B4C9A">
              <w:rPr>
                <w:b/>
              </w:rPr>
              <w:t>Date</w:t>
            </w:r>
          </w:p>
        </w:tc>
        <w:tc>
          <w:tcPr>
            <w:tcW w:w="4069" w:type="dxa"/>
            <w:shd w:val="pct10" w:color="auto" w:fill="auto"/>
          </w:tcPr>
          <w:p w14:paraId="6C4D27E4" w14:textId="77777777" w:rsidR="00427C86" w:rsidRPr="004B4C9A" w:rsidRDefault="00427C86" w:rsidP="00645CE8">
            <w:pPr>
              <w:pStyle w:val="TableText"/>
              <w:rPr>
                <w:b/>
              </w:rPr>
            </w:pPr>
            <w:r w:rsidRPr="004B4C9A">
              <w:rPr>
                <w:b/>
              </w:rPr>
              <w:t>Phone/Email</w:t>
            </w:r>
          </w:p>
        </w:tc>
      </w:tr>
      <w:tr w:rsidR="00427C86" w:rsidRPr="004B4C9A" w14:paraId="5BBF470B" w14:textId="77777777" w:rsidTr="00427C86">
        <w:tc>
          <w:tcPr>
            <w:tcW w:w="4224" w:type="dxa"/>
          </w:tcPr>
          <w:p w14:paraId="0F762ABF" w14:textId="77777777" w:rsidR="00427C86" w:rsidRPr="004B4C9A" w:rsidRDefault="00427C86" w:rsidP="00645CE8">
            <w:pPr>
              <w:pStyle w:val="TableText"/>
            </w:pPr>
          </w:p>
        </w:tc>
        <w:tc>
          <w:tcPr>
            <w:tcW w:w="1488" w:type="dxa"/>
          </w:tcPr>
          <w:p w14:paraId="4352A6EC" w14:textId="77777777" w:rsidR="00427C86" w:rsidRPr="004B4C9A" w:rsidRDefault="00427C86" w:rsidP="00645CE8">
            <w:pPr>
              <w:pStyle w:val="TableText"/>
            </w:pPr>
          </w:p>
        </w:tc>
        <w:tc>
          <w:tcPr>
            <w:tcW w:w="4069" w:type="dxa"/>
          </w:tcPr>
          <w:p w14:paraId="54DA74CA" w14:textId="77777777" w:rsidR="00427C86" w:rsidRPr="004B4C9A" w:rsidRDefault="00427C86" w:rsidP="00645CE8">
            <w:pPr>
              <w:pStyle w:val="TableText"/>
            </w:pPr>
          </w:p>
        </w:tc>
      </w:tr>
      <w:tr w:rsidR="00427C86" w:rsidRPr="004B4C9A" w14:paraId="2931070E" w14:textId="77777777" w:rsidTr="00427C86">
        <w:tc>
          <w:tcPr>
            <w:tcW w:w="4224" w:type="dxa"/>
          </w:tcPr>
          <w:p w14:paraId="54154CC8" w14:textId="77777777" w:rsidR="00427C86" w:rsidRPr="004B4C9A" w:rsidRDefault="00427C86" w:rsidP="00645CE8">
            <w:pPr>
              <w:pStyle w:val="TableText"/>
            </w:pPr>
          </w:p>
        </w:tc>
        <w:tc>
          <w:tcPr>
            <w:tcW w:w="1488" w:type="dxa"/>
          </w:tcPr>
          <w:p w14:paraId="502F820D" w14:textId="77777777" w:rsidR="00427C86" w:rsidRPr="004B4C9A" w:rsidRDefault="00427C86" w:rsidP="00645CE8">
            <w:pPr>
              <w:pStyle w:val="TableText"/>
            </w:pPr>
          </w:p>
        </w:tc>
        <w:tc>
          <w:tcPr>
            <w:tcW w:w="4069" w:type="dxa"/>
          </w:tcPr>
          <w:p w14:paraId="499D0E0E" w14:textId="77777777" w:rsidR="00427C86" w:rsidRPr="004B4C9A" w:rsidRDefault="00427C86" w:rsidP="00645CE8">
            <w:pPr>
              <w:pStyle w:val="TableText"/>
            </w:pPr>
          </w:p>
        </w:tc>
      </w:tr>
    </w:tbl>
    <w:p w14:paraId="58E86100" w14:textId="77777777" w:rsidR="00427C86" w:rsidRPr="004B4C9A" w:rsidRDefault="00427C86" w:rsidP="00427C86">
      <w:pPr>
        <w:rPr>
          <w:rFonts w:ascii="Times New Roman" w:hAnsi="Times New Roman"/>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427C86" w:rsidRPr="004B4C9A" w14:paraId="02F7B388" w14:textId="77777777" w:rsidTr="00427C86">
        <w:trPr>
          <w:tblHeader/>
        </w:trPr>
        <w:tc>
          <w:tcPr>
            <w:tcW w:w="2808" w:type="dxa"/>
            <w:shd w:val="pct10" w:color="auto" w:fill="auto"/>
          </w:tcPr>
          <w:p w14:paraId="65DE30B0" w14:textId="77777777" w:rsidR="00427C86" w:rsidRPr="004B4C9A" w:rsidRDefault="00427C86" w:rsidP="00645CE8">
            <w:pPr>
              <w:pStyle w:val="TableText"/>
              <w:rPr>
                <w:b/>
              </w:rPr>
            </w:pPr>
            <w:r w:rsidRPr="004B4C9A">
              <w:rPr>
                <w:b/>
              </w:rPr>
              <w:t>To</w:t>
            </w:r>
          </w:p>
        </w:tc>
        <w:tc>
          <w:tcPr>
            <w:tcW w:w="1416" w:type="dxa"/>
            <w:shd w:val="pct10" w:color="auto" w:fill="auto"/>
          </w:tcPr>
          <w:p w14:paraId="17FEBB2A" w14:textId="77777777" w:rsidR="00427C86" w:rsidRPr="004B4C9A" w:rsidRDefault="00427C86" w:rsidP="00645CE8">
            <w:pPr>
              <w:pStyle w:val="TableText"/>
              <w:rPr>
                <w:b/>
              </w:rPr>
            </w:pPr>
            <w:r w:rsidRPr="004B4C9A">
              <w:rPr>
                <w:b/>
              </w:rPr>
              <w:t>Action*</w:t>
            </w:r>
          </w:p>
        </w:tc>
        <w:tc>
          <w:tcPr>
            <w:tcW w:w="1488" w:type="dxa"/>
            <w:shd w:val="pct10" w:color="auto" w:fill="auto"/>
          </w:tcPr>
          <w:p w14:paraId="225EEAF7" w14:textId="77777777" w:rsidR="00427C86" w:rsidRPr="004B4C9A" w:rsidRDefault="00427C86" w:rsidP="00645CE8">
            <w:pPr>
              <w:pStyle w:val="TableText"/>
              <w:rPr>
                <w:b/>
              </w:rPr>
            </w:pPr>
            <w:r w:rsidRPr="004B4C9A">
              <w:rPr>
                <w:b/>
              </w:rPr>
              <w:t>Due Date</w:t>
            </w:r>
          </w:p>
        </w:tc>
        <w:tc>
          <w:tcPr>
            <w:tcW w:w="4069" w:type="dxa"/>
            <w:shd w:val="pct10" w:color="auto" w:fill="auto"/>
          </w:tcPr>
          <w:p w14:paraId="2E68BBC1" w14:textId="77777777" w:rsidR="00427C86" w:rsidRPr="004B4C9A" w:rsidRDefault="00427C86" w:rsidP="00645CE8">
            <w:pPr>
              <w:pStyle w:val="TableText"/>
              <w:rPr>
                <w:b/>
              </w:rPr>
            </w:pPr>
            <w:r w:rsidRPr="004B4C9A">
              <w:rPr>
                <w:b/>
              </w:rPr>
              <w:t>Phone//Email</w:t>
            </w:r>
          </w:p>
        </w:tc>
      </w:tr>
      <w:tr w:rsidR="00427C86" w:rsidRPr="004B4C9A" w14:paraId="448A19FF" w14:textId="77777777" w:rsidTr="00427C86">
        <w:tc>
          <w:tcPr>
            <w:tcW w:w="2808" w:type="dxa"/>
          </w:tcPr>
          <w:p w14:paraId="73AF28C4" w14:textId="77777777" w:rsidR="00427C86" w:rsidRPr="004B4C9A" w:rsidRDefault="00427C86" w:rsidP="00645CE8">
            <w:pPr>
              <w:rPr>
                <w:rFonts w:ascii="Times New Roman" w:hAnsi="Times New Roman"/>
              </w:rPr>
            </w:pPr>
          </w:p>
        </w:tc>
        <w:tc>
          <w:tcPr>
            <w:tcW w:w="1416" w:type="dxa"/>
          </w:tcPr>
          <w:p w14:paraId="21BBE889" w14:textId="77777777" w:rsidR="00427C86" w:rsidRPr="004B4C9A" w:rsidRDefault="00427C86" w:rsidP="00645CE8">
            <w:pPr>
              <w:rPr>
                <w:rFonts w:ascii="Times New Roman" w:hAnsi="Times New Roman"/>
              </w:rPr>
            </w:pPr>
          </w:p>
        </w:tc>
        <w:tc>
          <w:tcPr>
            <w:tcW w:w="1488" w:type="dxa"/>
          </w:tcPr>
          <w:p w14:paraId="40D48797" w14:textId="77777777" w:rsidR="00427C86" w:rsidRPr="004B4C9A" w:rsidRDefault="00427C86" w:rsidP="00645CE8">
            <w:pPr>
              <w:rPr>
                <w:rFonts w:ascii="Times New Roman" w:hAnsi="Times New Roman"/>
              </w:rPr>
            </w:pPr>
          </w:p>
        </w:tc>
        <w:tc>
          <w:tcPr>
            <w:tcW w:w="4069" w:type="dxa"/>
          </w:tcPr>
          <w:p w14:paraId="3462920F" w14:textId="77777777" w:rsidR="00427C86" w:rsidRPr="004B4C9A" w:rsidRDefault="00427C86" w:rsidP="00645CE8">
            <w:pPr>
              <w:rPr>
                <w:rFonts w:ascii="Times New Roman" w:hAnsi="Times New Roman"/>
              </w:rPr>
            </w:pPr>
          </w:p>
        </w:tc>
      </w:tr>
      <w:tr w:rsidR="00427C86" w:rsidRPr="004B4C9A" w14:paraId="79A73C32" w14:textId="77777777" w:rsidTr="00427C86">
        <w:tc>
          <w:tcPr>
            <w:tcW w:w="2808" w:type="dxa"/>
          </w:tcPr>
          <w:p w14:paraId="01142F98" w14:textId="77777777" w:rsidR="00427C86" w:rsidRPr="004B4C9A" w:rsidRDefault="00427C86" w:rsidP="00645CE8">
            <w:pPr>
              <w:rPr>
                <w:rFonts w:ascii="Times New Roman" w:hAnsi="Times New Roman"/>
              </w:rPr>
            </w:pPr>
          </w:p>
        </w:tc>
        <w:tc>
          <w:tcPr>
            <w:tcW w:w="1416" w:type="dxa"/>
          </w:tcPr>
          <w:p w14:paraId="7E729988" w14:textId="77777777" w:rsidR="00427C86" w:rsidRPr="004B4C9A" w:rsidRDefault="00427C86" w:rsidP="00645CE8">
            <w:pPr>
              <w:rPr>
                <w:rFonts w:ascii="Times New Roman" w:hAnsi="Times New Roman"/>
              </w:rPr>
            </w:pPr>
          </w:p>
        </w:tc>
        <w:tc>
          <w:tcPr>
            <w:tcW w:w="1488" w:type="dxa"/>
          </w:tcPr>
          <w:p w14:paraId="0D78E2E8" w14:textId="77777777" w:rsidR="00427C86" w:rsidRPr="004B4C9A" w:rsidRDefault="00427C86" w:rsidP="00645CE8">
            <w:pPr>
              <w:rPr>
                <w:rFonts w:ascii="Times New Roman" w:hAnsi="Times New Roman"/>
              </w:rPr>
            </w:pPr>
          </w:p>
        </w:tc>
        <w:tc>
          <w:tcPr>
            <w:tcW w:w="4069" w:type="dxa"/>
          </w:tcPr>
          <w:p w14:paraId="71A59DE5" w14:textId="77777777" w:rsidR="00427C86" w:rsidRPr="004B4C9A" w:rsidRDefault="00427C86" w:rsidP="00645CE8">
            <w:pPr>
              <w:rPr>
                <w:rFonts w:ascii="Times New Roman" w:hAnsi="Times New Roman"/>
              </w:rPr>
            </w:pPr>
          </w:p>
        </w:tc>
      </w:tr>
      <w:tr w:rsidR="00427C86" w:rsidRPr="004B4C9A" w14:paraId="03A3CD6C" w14:textId="77777777" w:rsidTr="00427C86">
        <w:tc>
          <w:tcPr>
            <w:tcW w:w="2808" w:type="dxa"/>
          </w:tcPr>
          <w:p w14:paraId="1FBD3A7C" w14:textId="77777777" w:rsidR="00427C86" w:rsidRPr="004B4C9A" w:rsidRDefault="00427C86" w:rsidP="00645CE8">
            <w:pPr>
              <w:rPr>
                <w:rFonts w:ascii="Times New Roman" w:hAnsi="Times New Roman"/>
              </w:rPr>
            </w:pPr>
          </w:p>
        </w:tc>
        <w:tc>
          <w:tcPr>
            <w:tcW w:w="1416" w:type="dxa"/>
          </w:tcPr>
          <w:p w14:paraId="39796550" w14:textId="77777777" w:rsidR="00427C86" w:rsidRPr="004B4C9A" w:rsidRDefault="00427C86" w:rsidP="00645CE8">
            <w:pPr>
              <w:rPr>
                <w:rFonts w:ascii="Times New Roman" w:hAnsi="Times New Roman"/>
              </w:rPr>
            </w:pPr>
          </w:p>
        </w:tc>
        <w:tc>
          <w:tcPr>
            <w:tcW w:w="1488" w:type="dxa"/>
          </w:tcPr>
          <w:p w14:paraId="013085BC" w14:textId="77777777" w:rsidR="00427C86" w:rsidRPr="004B4C9A" w:rsidRDefault="00427C86" w:rsidP="00645CE8">
            <w:pPr>
              <w:rPr>
                <w:rFonts w:ascii="Times New Roman" w:hAnsi="Times New Roman"/>
              </w:rPr>
            </w:pPr>
          </w:p>
        </w:tc>
        <w:tc>
          <w:tcPr>
            <w:tcW w:w="4069" w:type="dxa"/>
          </w:tcPr>
          <w:p w14:paraId="3D871E57" w14:textId="77777777" w:rsidR="00427C86" w:rsidRPr="004B4C9A" w:rsidRDefault="00427C86" w:rsidP="00645CE8">
            <w:pPr>
              <w:rPr>
                <w:rFonts w:ascii="Times New Roman" w:hAnsi="Times New Roman"/>
              </w:rPr>
            </w:pPr>
          </w:p>
        </w:tc>
      </w:tr>
      <w:tr w:rsidR="00427C86" w:rsidRPr="004B4C9A" w14:paraId="54BB7CC8" w14:textId="77777777" w:rsidTr="00427C86">
        <w:tc>
          <w:tcPr>
            <w:tcW w:w="2808" w:type="dxa"/>
          </w:tcPr>
          <w:p w14:paraId="3E0C50B2" w14:textId="77777777" w:rsidR="00427C86" w:rsidRPr="004B4C9A" w:rsidRDefault="00427C86" w:rsidP="00645CE8">
            <w:pPr>
              <w:rPr>
                <w:rFonts w:ascii="Times New Roman" w:hAnsi="Times New Roman"/>
              </w:rPr>
            </w:pPr>
          </w:p>
        </w:tc>
        <w:tc>
          <w:tcPr>
            <w:tcW w:w="1416" w:type="dxa"/>
          </w:tcPr>
          <w:p w14:paraId="798099CC" w14:textId="77777777" w:rsidR="00427C86" w:rsidRPr="004B4C9A" w:rsidRDefault="00427C86" w:rsidP="00645CE8">
            <w:pPr>
              <w:rPr>
                <w:rFonts w:ascii="Times New Roman" w:hAnsi="Times New Roman"/>
              </w:rPr>
            </w:pPr>
          </w:p>
        </w:tc>
        <w:tc>
          <w:tcPr>
            <w:tcW w:w="1488" w:type="dxa"/>
          </w:tcPr>
          <w:p w14:paraId="55991ED8" w14:textId="77777777" w:rsidR="00427C86" w:rsidRPr="004B4C9A" w:rsidRDefault="00427C86" w:rsidP="00645CE8">
            <w:pPr>
              <w:rPr>
                <w:rFonts w:ascii="Times New Roman" w:hAnsi="Times New Roman"/>
              </w:rPr>
            </w:pPr>
          </w:p>
        </w:tc>
        <w:tc>
          <w:tcPr>
            <w:tcW w:w="4069" w:type="dxa"/>
          </w:tcPr>
          <w:p w14:paraId="6E41287F" w14:textId="77777777" w:rsidR="00427C86" w:rsidRPr="004B4C9A" w:rsidRDefault="00427C86" w:rsidP="00645CE8">
            <w:pPr>
              <w:rPr>
                <w:rFonts w:ascii="Times New Roman" w:hAnsi="Times New Roman"/>
              </w:rPr>
            </w:pPr>
          </w:p>
        </w:tc>
      </w:tr>
    </w:tbl>
    <w:p w14:paraId="37AEED2F" w14:textId="77777777" w:rsidR="00427C86" w:rsidRPr="004B4C9A" w:rsidRDefault="00427C86" w:rsidP="00427C86">
      <w:pPr>
        <w:pStyle w:val="BodyText"/>
      </w:pPr>
      <w:r w:rsidRPr="004B4C9A">
        <w:t>* Action Types: Approve, Review, Inform, File, Action Required, Attend Meeting, Other (please specify)</w:t>
      </w:r>
    </w:p>
    <w:bookmarkEnd w:id="5"/>
    <w:p w14:paraId="1F07DA56" w14:textId="77777777" w:rsidR="00427C86" w:rsidRPr="00427C86" w:rsidRDefault="00427C86" w:rsidP="00427C86"/>
    <w:p w14:paraId="42323AA9" w14:textId="1353C7A7" w:rsidR="00B949A2" w:rsidRDefault="00427C86">
      <w:pPr>
        <w:pStyle w:val="Heading1"/>
      </w:pPr>
      <w:bookmarkStart w:id="6" w:name="_Toc170898805"/>
      <w:r>
        <w:lastRenderedPageBreak/>
        <w:t>Purpose of this Document</w:t>
      </w:r>
      <w:bookmarkEnd w:id="6"/>
    </w:p>
    <w:p w14:paraId="5752F113" w14:textId="77777777" w:rsidR="00427C86" w:rsidRDefault="00427C86" w:rsidP="00427C86">
      <w:pPr>
        <w:pStyle w:val="BodyText"/>
      </w:pPr>
      <w:r>
        <w:t>The Architecture Requirements Specification provides a set of quantitative statements that outline what an implementation project must do in order to comply with the architecture. An Architecture Requirements Specification will typically form a major component of an implementation contract or contract for more detailed Architecture Definition.</w:t>
      </w:r>
    </w:p>
    <w:p w14:paraId="23F751A7" w14:textId="77777777" w:rsidR="00427C86" w:rsidRDefault="00427C86" w:rsidP="00427C86">
      <w:pPr>
        <w:pStyle w:val="BodyText"/>
      </w:pPr>
      <w:r>
        <w:t>As mentioned above, the Architecture Requirements Specification is a companion to the Architecture Definition Document, with a complementary objective:</w:t>
      </w:r>
    </w:p>
    <w:p w14:paraId="62042EC9" w14:textId="09BB5B8A" w:rsidR="00427C86" w:rsidRDefault="00427C86" w:rsidP="00427C86">
      <w:pPr>
        <w:pStyle w:val="BodyText"/>
      </w:pPr>
      <w:r>
        <w:t>The Architecture Definition Document provides a qualitative view of the solution and aims to communicate the intent of the architect.</w:t>
      </w:r>
    </w:p>
    <w:p w14:paraId="5583BAEC" w14:textId="77777777" w:rsidR="00427C86" w:rsidRDefault="00427C86" w:rsidP="00427C86">
      <w:pPr>
        <w:pStyle w:val="BodyText"/>
      </w:pPr>
      <w:r>
        <w:t>The Architecture Requirements Specification provides a quantitative view of the solution, stating measurable criteria that must be met during the implementation of the architecture.</w:t>
      </w:r>
    </w:p>
    <w:p w14:paraId="39A6CAC6" w14:textId="77777777" w:rsidR="00427C86" w:rsidRDefault="00427C86" w:rsidP="00427C86">
      <w:pPr>
        <w:pStyle w:val="Heading2"/>
        <w:rPr>
          <w:shd w:val="clear" w:color="auto" w:fill="FFFFFF"/>
        </w:rPr>
      </w:pPr>
      <w:bookmarkStart w:id="7" w:name="_Toc138408078"/>
      <w:bookmarkStart w:id="8" w:name="_Toc138408738"/>
      <w:bookmarkStart w:id="9" w:name="_Toc170898806"/>
      <w:r>
        <w:rPr>
          <w:shd w:val="clear" w:color="auto" w:fill="FFFFFF"/>
        </w:rPr>
        <w:t>Output and Input</w:t>
      </w:r>
      <w:bookmarkEnd w:id="7"/>
      <w:bookmarkEnd w:id="8"/>
      <w:bookmarkEnd w:id="9"/>
    </w:p>
    <w:p w14:paraId="4EBDDC01" w14:textId="6732FB69" w:rsidR="00427C86" w:rsidRDefault="00427C86" w:rsidP="00427C86">
      <w:pPr>
        <w:pStyle w:val="BodyText"/>
      </w:pPr>
      <w:r w:rsidRPr="003B276E">
        <w:t>The TOGAF</w:t>
      </w:r>
      <w:r w:rsidRPr="000D4A7E">
        <w:rPr>
          <w:vertAlign w:val="superscript"/>
        </w:rPr>
        <w:t>®</w:t>
      </w:r>
      <w:r w:rsidRPr="003B276E">
        <w:t xml:space="preserve"> Content Framework (see</w:t>
      </w:r>
      <w:r>
        <w:t xml:space="preserve"> </w:t>
      </w:r>
      <w:hyperlink r:id="rId8" w:history="1">
        <w:r w:rsidRPr="003B276E">
          <w:rPr>
            <w:rStyle w:val="Hyperlink"/>
          </w:rPr>
          <w:t>Architecture Deliverables</w:t>
        </w:r>
      </w:hyperlink>
      <w:r w:rsidRPr="003B276E">
        <w:t xml:space="preserve">) identifies deliverables that are produced as outputs from executing the </w:t>
      </w:r>
      <w:r>
        <w:t>Architecture Development Method (</w:t>
      </w:r>
      <w:r w:rsidRPr="003B276E">
        <w:t>ADM</w:t>
      </w:r>
      <w:r>
        <w:t>)</w:t>
      </w:r>
      <w:r w:rsidRPr="003B276E">
        <w:t xml:space="preserve"> cycle and potentially consumed as inputs at other points in the ADM.</w:t>
      </w:r>
    </w:p>
    <w:p w14:paraId="64ADF68A" w14:textId="77777777" w:rsidR="00427C86" w:rsidRDefault="00427C86" w:rsidP="00427C86">
      <w:pPr>
        <w:pStyle w:val="BodyText"/>
      </w:pPr>
      <w:r>
        <w:t>This deliverable is produced, updated, and consumed by the ADM Phases:</w:t>
      </w:r>
    </w:p>
    <w:tbl>
      <w:tblPr>
        <w:tblStyle w:val="TableGrid"/>
        <w:tblW w:w="0" w:type="auto"/>
        <w:tblInd w:w="108" w:type="dxa"/>
        <w:tblLook w:val="04A0" w:firstRow="1" w:lastRow="0" w:firstColumn="1" w:lastColumn="0" w:noHBand="0" w:noVBand="1"/>
      </w:tblPr>
      <w:tblGrid>
        <w:gridCol w:w="3008"/>
        <w:gridCol w:w="3117"/>
        <w:gridCol w:w="3117"/>
      </w:tblGrid>
      <w:tr w:rsidR="00427C86" w14:paraId="5F8F359C" w14:textId="77777777" w:rsidTr="00155DAC">
        <w:tc>
          <w:tcPr>
            <w:tcW w:w="3008" w:type="dxa"/>
            <w:shd w:val="pct10" w:color="auto" w:fill="auto"/>
          </w:tcPr>
          <w:p w14:paraId="00D806B8" w14:textId="77777777" w:rsidR="00427C86" w:rsidRPr="000D4A7E" w:rsidRDefault="00427C86" w:rsidP="00645CE8">
            <w:pPr>
              <w:pStyle w:val="TableText"/>
              <w:rPr>
                <w:b/>
                <w:bCs/>
              </w:rPr>
            </w:pPr>
            <w:r w:rsidRPr="000D4A7E">
              <w:rPr>
                <w:b/>
                <w:bCs/>
              </w:rPr>
              <w:t>Deliverable</w:t>
            </w:r>
          </w:p>
        </w:tc>
        <w:tc>
          <w:tcPr>
            <w:tcW w:w="3117" w:type="dxa"/>
            <w:shd w:val="pct10" w:color="auto" w:fill="auto"/>
          </w:tcPr>
          <w:p w14:paraId="7A867A9C" w14:textId="77777777" w:rsidR="00427C86" w:rsidRPr="000D4A7E" w:rsidRDefault="00427C86" w:rsidP="00645CE8">
            <w:pPr>
              <w:pStyle w:val="TableText"/>
              <w:rPr>
                <w:b/>
                <w:bCs/>
              </w:rPr>
            </w:pPr>
            <w:r w:rsidRPr="000D4A7E">
              <w:rPr>
                <w:b/>
                <w:bCs/>
              </w:rPr>
              <w:t>Output from…</w:t>
            </w:r>
          </w:p>
        </w:tc>
        <w:tc>
          <w:tcPr>
            <w:tcW w:w="3117" w:type="dxa"/>
            <w:shd w:val="pct10" w:color="auto" w:fill="auto"/>
          </w:tcPr>
          <w:p w14:paraId="141AB49A" w14:textId="77777777" w:rsidR="00427C86" w:rsidRPr="000D4A7E" w:rsidRDefault="00427C86" w:rsidP="00645CE8">
            <w:pPr>
              <w:pStyle w:val="TableText"/>
              <w:rPr>
                <w:b/>
                <w:bCs/>
              </w:rPr>
            </w:pPr>
            <w:r w:rsidRPr="000D4A7E">
              <w:rPr>
                <w:b/>
                <w:bCs/>
              </w:rPr>
              <w:t>Input to…</w:t>
            </w:r>
          </w:p>
        </w:tc>
      </w:tr>
      <w:tr w:rsidR="00427C86" w14:paraId="56381ACC" w14:textId="77777777" w:rsidTr="00155DAC">
        <w:tc>
          <w:tcPr>
            <w:tcW w:w="3008" w:type="dxa"/>
          </w:tcPr>
          <w:p w14:paraId="14088E52" w14:textId="77777777" w:rsidR="00427C86" w:rsidRDefault="00427C86" w:rsidP="00645CE8">
            <w:pPr>
              <w:pStyle w:val="TableText"/>
            </w:pPr>
            <w:r>
              <w:t>Architecture Requirements Specification</w:t>
            </w:r>
          </w:p>
        </w:tc>
        <w:tc>
          <w:tcPr>
            <w:tcW w:w="3117" w:type="dxa"/>
          </w:tcPr>
          <w:p w14:paraId="2748A1CD" w14:textId="77777777" w:rsidR="00427C86" w:rsidRDefault="00427C86" w:rsidP="00645CE8">
            <w:pPr>
              <w:pStyle w:val="TableText"/>
            </w:pPr>
            <w:r>
              <w:t>B, C, D, E, F,</w:t>
            </w:r>
          </w:p>
          <w:p w14:paraId="2874104A" w14:textId="77777777" w:rsidR="00427C86" w:rsidRDefault="00427C86" w:rsidP="00645CE8">
            <w:pPr>
              <w:pStyle w:val="TableText"/>
            </w:pPr>
            <w:r>
              <w:t>Requirements Management</w:t>
            </w:r>
          </w:p>
        </w:tc>
        <w:tc>
          <w:tcPr>
            <w:tcW w:w="3117" w:type="dxa"/>
          </w:tcPr>
          <w:p w14:paraId="07A1A00F" w14:textId="77777777" w:rsidR="00427C86" w:rsidRDefault="00427C86" w:rsidP="00645CE8">
            <w:pPr>
              <w:pStyle w:val="TableText"/>
            </w:pPr>
            <w:r>
              <w:t>C, D,</w:t>
            </w:r>
          </w:p>
          <w:p w14:paraId="5E860343" w14:textId="77777777" w:rsidR="00427C86" w:rsidRDefault="00427C86" w:rsidP="00645CE8">
            <w:pPr>
              <w:pStyle w:val="TableText"/>
            </w:pPr>
            <w:r>
              <w:t>Requirements Management</w:t>
            </w:r>
          </w:p>
        </w:tc>
      </w:tr>
    </w:tbl>
    <w:p w14:paraId="0FCA9CFD" w14:textId="7C1B1F6C" w:rsidR="00427C86" w:rsidRDefault="00427C86" w:rsidP="00427C86">
      <w:pPr>
        <w:pStyle w:val="Heading1"/>
      </w:pPr>
      <w:bookmarkStart w:id="10" w:name="_Toc170898807"/>
      <w:r>
        <w:lastRenderedPageBreak/>
        <w:t>Architecture Requirements</w:t>
      </w:r>
      <w:bookmarkEnd w:id="10"/>
    </w:p>
    <w:p>
      <w:pPr>
        <w:pStyle w:val="BodyText"/>
      </w:pPr>
      <w:r>
        <w:t xml:space="preserve">This specification states the measurable requirements that come out of the Phase B Business Architecture for the Office of Student Mentoring (OSM). It covers the business-level requirements only. The Application, Implementation, Interoperability and IT Service Management sections are marked for completion in Phases C and D.</w:t>
      </w:r>
    </w:p>
    <w:p>
      <w:pPr>
        <w:pStyle w:val="BodyText"/>
      </w:pPr>
      <w:r>
        <w:rPr>
          <w:b/>
        </w:rPr>
        <w:t xml:space="preserve">Motivation.</w:t>
      </w:r>
      <w:r>
        <w:t xml:space="preserve"> Goal: foster holistic (integral) education in line with UA&amp;P's vision. Objective: see student growth closely. Drivers: (1) the new University President's mandate making mentoring mandatory, with at least three mentoring sessions per semester (non-negotiable; missing it for three consecutive semesters affects enrollment); (2) mentoring as a UA&amp;P hallmark that CHED does not require; (3) the need for evidence that the program works, aiming at full participation.</w:t>
      </w:r>
    </w:p>
    <w:p>
      <w:pPr>
        <w:pStyle w:val="BodyText"/>
      </w:pPr>
      <w:r>
        <w:rPr>
          <w:b/>
        </w:rPr>
        <w:t xml:space="preserve">Business-level target.</w:t>
      </w:r>
      <w:r>
        <w:t xml:space="preserve"> All mentoring workflows (pairing, mentor change, mentee contact, session logging and monitoring) run as one centralized, end-to-end workflow with one shared source of truth for mentee-mentor pairings, replacing today's email chains and per-coordinator spreadsheets. School Mentoring Coordinators keep the pairing decision.</w:t>
      </w:r>
    </w:p>
    <w:p>
      <w:pPr>
        <w:pStyle w:val="BodyText"/>
      </w:pPr>
      <w:r>
        <w:t xml:space="preserve">Sources: Interview with OSM (2026-09-11); Interview with OSM (2026-09-28); Interview with SSE Mentoring Coordinator (2026-10-16); Interview with SED Mentoring Coordinator (2026-10-20).</w:t>
      </w:r>
    </w:p>
    <w:p w14:paraId="6BF51B86" w14:textId="77777777" w:rsidR="00427C86" w:rsidRDefault="00427C86" w:rsidP="00427C86">
      <w:pPr>
        <w:pStyle w:val="Heading2"/>
        <w:rPr>
          <w:szCs w:val="24"/>
          <w:lang w:val="en-GB" w:eastAsia="en-GB"/>
        </w:rPr>
      </w:pPr>
      <w:bookmarkStart w:id="11" w:name="_Toc138408740"/>
      <w:bookmarkStart w:id="12" w:name="_Toc170898808"/>
      <w:r>
        <w:t>Success Measures</w:t>
      </w:r>
      <w:bookmarkEnd w:id="11"/>
      <w:bookmarkEnd w:id="12"/>
    </w:p>
    <w:p>
      <w:pPr>
        <w:pStyle w:val="BodyText"/>
      </w:pPr>
      <w:r>
        <w:t xml:space="preserve">Targets marked "proposed" are the architecture team's proposals and must be validated with OSM and the sponsor (CSA Executive Director).</w:t>
      </w:r>
    </w:p>
    <w:tbl>
      <w:tblPr>
        <w:tblStyle w:val="TableGrid"/>
        <w:tblW w:w="9000" w:type="dxa"/>
        <w:tblLook w:val="04A0" w:firstRow="1" w:lastRow="0" w:firstColumn="1" w:lastColumn="0" w:noHBand="0" w:noVBand="1"/>
      </w:tblPr>
      <w:tblGrid>
        <w:gridCol w:w="800"/>
        <w:gridCol w:w="2600"/>
        <w:gridCol w:w="2200"/>
        <w:gridCol w:w="1900"/>
        <w:gridCol w:w="1500"/>
      </w:tblGrid>
      <w:tr>
        <w:trPr>
          <w:tblHeader/>
        </w:trPr>
        <w:tc>
          <w:tcPr>
            <w:tcW w:w="800" w:type="dxa"/>
            <w:shd w:val="clear" w:color="auto" w:fill="D9E2F3"/>
          </w:tcPr>
          <w:p>
            <w:pPr>
              <w:pStyle w:val="TableText"/>
            </w:pPr>
            <w:r>
              <w:rPr>
                <w:b/>
              </w:rPr>
              <w:t xml:space="preserve">ID</w:t>
            </w:r>
          </w:p>
        </w:tc>
        <w:tc>
          <w:tcPr>
            <w:tcW w:w="2600" w:type="dxa"/>
            <w:shd w:val="clear" w:color="auto" w:fill="D9E2F3"/>
          </w:tcPr>
          <w:p>
            <w:pPr>
              <w:pStyle w:val="TableText"/>
            </w:pPr>
            <w:r>
              <w:rPr>
                <w:b/>
              </w:rPr>
              <w:t xml:space="preserve">Success measure</w:t>
            </w:r>
          </w:p>
        </w:tc>
        <w:tc>
          <w:tcPr>
            <w:tcW w:w="2200" w:type="dxa"/>
            <w:shd w:val="clear" w:color="auto" w:fill="D9E2F3"/>
          </w:tcPr>
          <w:p>
            <w:pPr>
              <w:pStyle w:val="TableText"/>
            </w:pPr>
            <w:r>
              <w:rPr>
                <w:b/>
              </w:rPr>
              <w:t xml:space="preserve">Baseline (today)</w:t>
            </w:r>
          </w:p>
        </w:tc>
        <w:tc>
          <w:tcPr>
            <w:tcW w:w="1900" w:type="dxa"/>
            <w:shd w:val="clear" w:color="auto" w:fill="D9E2F3"/>
          </w:tcPr>
          <w:p>
            <w:pPr>
              <w:pStyle w:val="TableText"/>
            </w:pPr>
            <w:r>
              <w:rPr>
                <w:b/>
              </w:rPr>
              <w:t xml:space="preserve">Target</w:t>
            </w:r>
          </w:p>
        </w:tc>
        <w:tc>
          <w:tcPr>
            <w:tcW w:w="1500" w:type="dxa"/>
            <w:shd w:val="clear" w:color="auto" w:fill="D9E2F3"/>
          </w:tcPr>
          <w:p>
            <w:pPr>
              <w:pStyle w:val="TableText"/>
            </w:pPr>
            <w:r>
              <w:rPr>
                <w:b/>
              </w:rPr>
              <w:t xml:space="preserve">Traces to</w:t>
            </w:r>
          </w:p>
        </w:tc>
      </w:tr>
      <w:tr>
        <w:tc>
          <w:tcPr>
            <w:tcW w:w="800" w:type="dxa"/>
          </w:tcPr>
          <w:p>
            <w:pPr>
              <w:pStyle w:val="TableText"/>
            </w:pPr>
            <w:r>
              <w:t xml:space="preserve">SM-01</w:t>
            </w:r>
          </w:p>
        </w:tc>
        <w:tc>
          <w:tcPr>
            <w:tcW w:w="2600" w:type="dxa"/>
          </w:tcPr>
          <w:p>
            <w:pPr>
              <w:pStyle w:val="TableText"/>
            </w:pPr>
            <w:r>
              <w:t xml:space="preserve">Share of enrolled undergraduates with at least 3 confirmed mentoring sessions per semester</w:t>
            </w:r>
          </w:p>
        </w:tc>
        <w:tc>
          <w:tcPr>
            <w:tcW w:w="2200" w:type="dxa"/>
          </w:tcPr>
          <w:p>
            <w:pPr>
              <w:pStyle w:val="TableText"/>
            </w:pPr>
            <w:r>
              <w:t xml:space="preserve">Not measured centrally; session logs are not linked to pairings</w:t>
            </w:r>
          </w:p>
        </w:tc>
        <w:tc>
          <w:tcPr>
            <w:tcW w:w="1900" w:type="dxa"/>
          </w:tcPr>
          <w:p>
            <w:pPr>
              <w:pStyle w:val="TableText"/>
            </w:pPr>
            <w:r>
              <w:t xml:space="preserve">100% (unit's stated aim)</w:t>
            </w:r>
          </w:p>
        </w:tc>
        <w:tc>
          <w:tcPr>
            <w:tcW w:w="1500" w:type="dxa"/>
          </w:tcPr>
          <w:p>
            <w:pPr>
              <w:pStyle w:val="TableText"/>
            </w:pPr>
            <w:r>
              <w:t xml:space="preserve">Driver 1, Driver 3</w:t>
            </w:r>
          </w:p>
        </w:tc>
      </w:tr>
      <w:tr>
        <w:tc>
          <w:tcPr>
            <w:tcW w:w="800" w:type="dxa"/>
          </w:tcPr>
          <w:p>
            <w:pPr>
              <w:pStyle w:val="TableText"/>
            </w:pPr>
            <w:r>
              <w:t xml:space="preserve">SM-02</w:t>
            </w:r>
          </w:p>
        </w:tc>
        <w:tc>
          <w:tcPr>
            <w:tcW w:w="2600" w:type="dxa"/>
          </w:tcPr>
          <w:p>
            <w:pPr>
              <w:pStyle w:val="TableText"/>
            </w:pPr>
            <w:r>
              <w:t xml:space="preserve">Share of enrolled students with an assigned mentor recorded in the central pairing register before sessions start</w:t>
            </w:r>
          </w:p>
        </w:tc>
        <w:tc>
          <w:tcPr>
            <w:tcW w:w="2200" w:type="dxa"/>
          </w:tcPr>
          <w:p>
            <w:pPr>
              <w:pStyle w:val="TableText"/>
            </w:pPr>
            <w:r>
              <w:t xml:space="preserve">Pairings held in separate coordinator lists; final lists not kept</w:t>
            </w:r>
          </w:p>
        </w:tc>
        <w:tc>
          <w:tcPr>
            <w:tcW w:w="1900" w:type="dxa"/>
          </w:tcPr>
          <w:p>
            <w:pPr>
              <w:pStyle w:val="TableText"/>
            </w:pPr>
            <w:r>
              <w:t xml:space="preserve">100% (proposed)</w:t>
            </w:r>
          </w:p>
        </w:tc>
        <w:tc>
          <w:tcPr>
            <w:tcW w:w="1500" w:type="dxa"/>
          </w:tcPr>
          <w:p>
            <w:pPr>
              <w:pStyle w:val="TableText"/>
            </w:pPr>
            <w:r>
              <w:t xml:space="preserve">Objective; Capability: Pairing</w:t>
            </w:r>
          </w:p>
        </w:tc>
      </w:tr>
      <w:tr>
        <w:tc>
          <w:tcPr>
            <w:tcW w:w="800" w:type="dxa"/>
          </w:tcPr>
          <w:p>
            <w:pPr>
              <w:pStyle w:val="TableText"/>
            </w:pPr>
            <w:r>
              <w:t xml:space="preserve">SM-03</w:t>
            </w:r>
          </w:p>
        </w:tc>
        <w:tc>
          <w:tcPr>
            <w:tcW w:w="2600" w:type="dxa"/>
          </w:tcPr>
          <w:p>
            <w:pPr>
              <w:pStyle w:val="TableText"/>
            </w:pPr>
            <w:r>
              <w:t xml:space="preserve">Previous term's final pairings retrievable at the start of the next term</w:t>
            </w:r>
          </w:p>
        </w:tc>
        <w:tc>
          <w:tcPr>
            <w:tcW w:w="2200" w:type="dxa"/>
          </w:tcPr>
          <w:p>
            <w:pPr>
              <w:pStyle w:val="TableText"/>
            </w:pPr>
            <w:r>
              <w:t xml:space="preserve">Not retrievable; coordinators rebuild pairings by hand</w:t>
            </w:r>
          </w:p>
        </w:tc>
        <w:tc>
          <w:tcPr>
            <w:tcW w:w="1900" w:type="dxa"/>
          </w:tcPr>
          <w:p>
            <w:pPr>
              <w:pStyle w:val="TableText"/>
            </w:pPr>
            <w:r>
              <w:t xml:space="preserve">100% (proposed)</w:t>
            </w:r>
          </w:p>
        </w:tc>
        <w:tc>
          <w:tcPr>
            <w:tcW w:w="1500" w:type="dxa"/>
          </w:tcPr>
          <w:p>
            <w:pPr>
              <w:pStyle w:val="TableText"/>
            </w:pPr>
            <w:r>
              <w:t xml:space="preserve">Capability: Pairing</w:t>
            </w:r>
          </w:p>
        </w:tc>
      </w:tr>
      <w:tr>
        <w:tc>
          <w:tcPr>
            <w:tcW w:w="800" w:type="dxa"/>
          </w:tcPr>
          <w:p>
            <w:pPr>
              <w:pStyle w:val="TableText"/>
            </w:pPr>
            <w:r>
              <w:t xml:space="preserve">SM-04</w:t>
            </w:r>
          </w:p>
        </w:tc>
        <w:tc>
          <w:tcPr>
            <w:tcW w:w="2600" w:type="dxa"/>
          </w:tcPr>
          <w:p>
            <w:pPr>
              <w:pStyle w:val="TableText"/>
            </w:pPr>
            <w:r>
              <w:t xml:space="preserve">Mentor-change requests captured and tracked in one queue</w:t>
            </w:r>
          </w:p>
        </w:tc>
        <w:tc>
          <w:tcPr>
            <w:tcW w:w="2200" w:type="dxa"/>
          </w:tcPr>
          <w:p>
            <w:pPr>
              <w:pStyle w:val="TableText"/>
            </w:pPr>
            <w:r>
              <w:t xml:space="preserve">Requests arrive by email to OSM or coordinators; not tracked</w:t>
            </w:r>
          </w:p>
        </w:tc>
        <w:tc>
          <w:tcPr>
            <w:tcW w:w="1900" w:type="dxa"/>
          </w:tcPr>
          <w:p>
            <w:pPr>
              <w:pStyle w:val="TableText"/>
            </w:pPr>
            <w:r>
              <w:t xml:space="preserve">100% of requests (proposed)</w:t>
            </w:r>
          </w:p>
        </w:tc>
        <w:tc>
          <w:tcPr>
            <w:tcW w:w="1500" w:type="dxa"/>
          </w:tcPr>
          <w:p>
            <w:pPr>
              <w:pStyle w:val="TableText"/>
            </w:pPr>
            <w:r>
              <w:t xml:space="preserve">Capability: Pairing Change Mgmt</w:t>
            </w:r>
          </w:p>
        </w:tc>
      </w:tr>
      <w:tr>
        <w:tc>
          <w:tcPr>
            <w:tcW w:w="800" w:type="dxa"/>
          </w:tcPr>
          <w:p>
            <w:pPr>
              <w:pStyle w:val="TableText"/>
            </w:pPr>
            <w:r>
              <w:t xml:space="preserve">SM-05</w:t>
            </w:r>
          </w:p>
        </w:tc>
        <w:tc>
          <w:tcPr>
            <w:tcW w:w="2600" w:type="dxa"/>
          </w:tcPr>
          <w:p>
            <w:pPr>
              <w:pStyle w:val="TableText"/>
            </w:pPr>
            <w:r>
              <w:t xml:space="preserve">Mentor-change turnaround (request to student notified)</w:t>
            </w:r>
          </w:p>
        </w:tc>
        <w:tc>
          <w:tcPr>
            <w:tcW w:w="2200" w:type="dxa"/>
          </w:tcPr>
          <w:p>
            <w:pPr>
              <w:pStyle w:val="TableText"/>
            </w:pPr>
            <w:r>
              <w:t xml:space="preserve">About 2 days, by email relay</w:t>
            </w:r>
          </w:p>
        </w:tc>
        <w:tc>
          <w:tcPr>
            <w:tcW w:w="1900" w:type="dxa"/>
          </w:tcPr>
          <w:p>
            <w:pPr>
              <w:pStyle w:val="TableText"/>
            </w:pPr>
            <w:r>
              <w:t xml:space="preserve">Within 2 working days, without email relay (proposed)</w:t>
            </w:r>
          </w:p>
        </w:tc>
        <w:tc>
          <w:tcPr>
            <w:tcW w:w="1500" w:type="dxa"/>
          </w:tcPr>
          <w:p>
            <w:pPr>
              <w:pStyle w:val="TableText"/>
            </w:pPr>
            <w:r>
              <w:t xml:space="preserve">Capability: Pairing Change Mgmt</w:t>
            </w:r>
          </w:p>
        </w:tc>
      </w:tr>
      <w:tr>
        <w:tc>
          <w:tcPr>
            <w:tcW w:w="800" w:type="dxa"/>
          </w:tcPr>
          <w:p>
            <w:pPr>
              <w:pStyle w:val="TableText"/>
            </w:pPr>
            <w:r>
              <w:t xml:space="preserve">SM-06</w:t>
            </w:r>
          </w:p>
        </w:tc>
        <w:tc>
          <w:tcPr>
            <w:tcW w:w="2600" w:type="dxa"/>
          </w:tcPr>
          <w:p>
            <w:pPr>
              <w:pStyle w:val="TableText"/>
            </w:pPr>
            <w:r>
              <w:t xml:space="preserve">Session logs automatically matched to a registered mentee-mentor pairing</w:t>
            </w:r>
          </w:p>
        </w:tc>
        <w:tc>
          <w:tcPr>
            <w:tcW w:w="2200" w:type="dxa"/>
          </w:tcPr>
          <w:p>
            <w:pPr>
              <w:pStyle w:val="TableText"/>
            </w:pPr>
            <w:r>
              <w:t xml:space="preserve">0%: the session-log sheet and the pairing lists are not connected</w:t>
            </w:r>
          </w:p>
        </w:tc>
        <w:tc>
          <w:tcPr>
            <w:tcW w:w="1900" w:type="dxa"/>
          </w:tcPr>
          <w:p>
            <w:pPr>
              <w:pStyle w:val="TableText"/>
            </w:pPr>
            <w:r>
              <w:t xml:space="preserve">100% (proposed)</w:t>
            </w:r>
          </w:p>
        </w:tc>
        <w:tc>
          <w:tcPr>
            <w:tcW w:w="1500" w:type="dxa"/>
          </w:tcPr>
          <w:p>
            <w:pPr>
              <w:pStyle w:val="TableText"/>
            </w:pPr>
            <w:r>
              <w:t xml:space="preserve">Capability: Session Logging &amp; Compliance</w:t>
            </w:r>
          </w:p>
        </w:tc>
      </w:tr>
      <w:tr>
        <w:tc>
          <w:tcPr>
            <w:tcW w:w="800" w:type="dxa"/>
          </w:tcPr>
          <w:p>
            <w:pPr>
              <w:pStyle w:val="TableText"/>
            </w:pPr>
            <w:r>
              <w:t xml:space="preserve">SM-07</w:t>
            </w:r>
          </w:p>
        </w:tc>
        <w:tc>
          <w:tcPr>
            <w:tcW w:w="2600" w:type="dxa"/>
          </w:tcPr>
          <w:p>
            <w:pPr>
              <w:pStyle w:val="TableText"/>
            </w:pPr>
            <w:r>
              <w:t xml:space="preserve">Routes by which the official student list reaches coordinators</w:t>
            </w:r>
          </w:p>
        </w:tc>
        <w:tc>
          <w:tcPr>
            <w:tcW w:w="2200" w:type="dxa"/>
          </w:tcPr>
          <w:p>
            <w:pPr>
              <w:pStyle w:val="TableText"/>
            </w:pPr>
            <w:r>
              <w:t xml:space="preserve">Two (via OSM, or coordinator asks the Registrar directly)</w:t>
            </w:r>
          </w:p>
        </w:tc>
        <w:tc>
          <w:tcPr>
            <w:tcW w:w="1900" w:type="dxa"/>
          </w:tcPr>
          <w:p>
            <w:pPr>
              <w:pStyle w:val="TableText"/>
            </w:pPr>
            <w:r>
              <w:t xml:space="preserve">One: Registrar to OSM to coordinators (proposed)</w:t>
            </w:r>
          </w:p>
        </w:tc>
        <w:tc>
          <w:tcPr>
            <w:tcW w:w="1500" w:type="dxa"/>
          </w:tcPr>
          <w:p>
            <w:pPr>
              <w:pStyle w:val="TableText"/>
            </w:pPr>
            <w:r>
              <w:t xml:space="preserve">Capability: Pairing</w:t>
            </w:r>
          </w:p>
        </w:tc>
      </w:tr>
      <w:tr>
        <w:tc>
          <w:tcPr>
            <w:tcW w:w="800" w:type="dxa"/>
          </w:tcPr>
          <w:p>
            <w:pPr>
              <w:pStyle w:val="TableText"/>
            </w:pPr>
            <w:r>
              <w:t xml:space="preserve">SM-08</w:t>
            </w:r>
          </w:p>
        </w:tc>
        <w:tc>
          <w:tcPr>
            <w:tcW w:w="2600" w:type="dxa"/>
          </w:tcPr>
          <w:p>
            <w:pPr>
              <w:pStyle w:val="TableText"/>
            </w:pPr>
            <w:r>
              <w:t xml:space="preserve">Semester compliance and evaluation report to the CSA Executive Director and ManCom</w:t>
            </w:r>
          </w:p>
        </w:tc>
        <w:tc>
          <w:tcPr>
            <w:tcW w:w="2200" w:type="dxa"/>
          </w:tcPr>
          <w:p>
            <w:pPr>
              <w:pStyle w:val="TableText"/>
            </w:pPr>
            <w:r>
              <w:t xml:space="preserve">No formal reporting</w:t>
            </w:r>
          </w:p>
        </w:tc>
        <w:tc>
          <w:tcPr>
            <w:tcW w:w="1900" w:type="dxa"/>
          </w:tcPr>
          <w:p>
            <w:pPr>
              <w:pStyle w:val="TableText"/>
            </w:pPr>
            <w:r>
              <w:t xml:space="preserve">One report per semester (proposed)</w:t>
            </w:r>
          </w:p>
        </w:tc>
        <w:tc>
          <w:tcPr>
            <w:tcW w:w="1500" w:type="dxa"/>
          </w:tcPr>
          <w:p>
            <w:pPr>
              <w:pStyle w:val="TableText"/>
            </w:pPr>
            <w:r>
              <w:t xml:space="preserve">Driver 3; Capability: Evaluation &amp; Reporting</w:t>
            </w:r>
          </w:p>
        </w:tc>
      </w:tr>
    </w:tbl>
    <w:p>
      <w:pPr>
        <w:pStyle w:val="BodyText"/>
      </w:pPr>
    </w:p>
    <w:p w14:paraId="352DE3A8" w14:textId="77777777" w:rsidR="00427C86" w:rsidRDefault="00427C86" w:rsidP="00427C86">
      <w:pPr>
        <w:pStyle w:val="Heading2"/>
      </w:pPr>
      <w:bookmarkStart w:id="13" w:name="_Toc138408741"/>
      <w:bookmarkStart w:id="14" w:name="_Toc170898809"/>
      <w:r>
        <w:t>Business Service Contracts</w:t>
      </w:r>
      <w:bookmarkEnd w:id="13"/>
      <w:bookmarkEnd w:id="14"/>
    </w:p>
    <w:p>
      <w:pPr>
        <w:pStyle w:val="BodyText"/>
      </w:pPr>
      <w:r>
        <w:t xml:space="preserve">Business services exchanged between OSM and the parties at its boundary. Service levels are proposed and need agreement with each party.</w:t>
      </w:r>
    </w:p>
    <w:tbl>
      <w:tblPr>
        <w:tblStyle w:val="TableGrid"/>
        <w:tblW w:w="9000" w:type="dxa"/>
        <w:tblLook w:val="04A0" w:firstRow="1" w:lastRow="0" w:firstColumn="1" w:lastColumn="0" w:noHBand="0" w:noVBand="1"/>
      </w:tblPr>
      <w:tblGrid>
        <w:gridCol w:w="800"/>
        <w:gridCol w:w="1700"/>
        <w:gridCol w:w="1900"/>
        <w:gridCol w:w="2700"/>
        <w:gridCol w:w="1900"/>
      </w:tblGrid>
      <w:tr>
        <w:trPr>
          <w:tblHeader/>
        </w:trPr>
        <w:tc>
          <w:tcPr>
            <w:tcW w:w="800" w:type="dxa"/>
            <w:shd w:val="clear" w:color="auto" w:fill="D9E2F3"/>
          </w:tcPr>
          <w:p>
            <w:pPr>
              <w:pStyle w:val="TableText"/>
            </w:pPr>
            <w:r>
              <w:rPr>
                <w:b/>
              </w:rPr>
              <w:t xml:space="preserve">ID</w:t>
            </w:r>
          </w:p>
        </w:tc>
        <w:tc>
          <w:tcPr>
            <w:tcW w:w="1700" w:type="dxa"/>
            <w:shd w:val="clear" w:color="auto" w:fill="D9E2F3"/>
          </w:tcPr>
          <w:p>
            <w:pPr>
              <w:pStyle w:val="TableText"/>
            </w:pPr>
            <w:r>
              <w:rPr>
                <w:b/>
              </w:rPr>
              <w:t xml:space="preserve">Business service</w:t>
            </w:r>
          </w:p>
        </w:tc>
        <w:tc>
          <w:tcPr>
            <w:tcW w:w="1900" w:type="dxa"/>
            <w:shd w:val="clear" w:color="auto" w:fill="D9E2F3"/>
          </w:tcPr>
          <w:p>
            <w:pPr>
              <w:pStyle w:val="TableText"/>
            </w:pPr>
            <w:r>
              <w:rPr>
                <w:b/>
              </w:rPr>
              <w:t xml:space="preserve">Provider → Consumer</w:t>
            </w:r>
          </w:p>
        </w:tc>
        <w:tc>
          <w:tcPr>
            <w:tcW w:w="2700" w:type="dxa"/>
            <w:shd w:val="clear" w:color="auto" w:fill="D9E2F3"/>
          </w:tcPr>
          <w:p>
            <w:pPr>
              <w:pStyle w:val="TableText"/>
            </w:pPr>
            <w:r>
              <w:rPr>
                <w:b/>
              </w:rPr>
              <w:t xml:space="preserve">What is provided</w:t>
            </w:r>
          </w:p>
        </w:tc>
        <w:tc>
          <w:tcPr>
            <w:tcW w:w="1900" w:type="dxa"/>
            <w:shd w:val="clear" w:color="auto" w:fill="D9E2F3"/>
          </w:tcPr>
          <w:p>
            <w:pPr>
              <w:pStyle w:val="TableText"/>
            </w:pPr>
            <w:r>
              <w:rPr>
                <w:b/>
              </w:rPr>
              <w:t xml:space="preserve">Proposed service level</w:t>
            </w:r>
          </w:p>
        </w:tc>
      </w:tr>
      <w:tr>
        <w:tc>
          <w:tcPr>
            <w:tcW w:w="800" w:type="dxa"/>
          </w:tcPr>
          <w:p>
            <w:pPr>
              <w:pStyle w:val="TableText"/>
            </w:pPr>
            <w:r>
              <w:t xml:space="preserve">BS-01</w:t>
            </w:r>
          </w:p>
        </w:tc>
        <w:tc>
          <w:tcPr>
            <w:tcW w:w="1700" w:type="dxa"/>
          </w:tcPr>
          <w:p>
            <w:pPr>
              <w:pStyle w:val="TableText"/>
            </w:pPr>
            <w:r>
              <w:t xml:space="preserve">Student List Provision</w:t>
            </w:r>
          </w:p>
        </w:tc>
        <w:tc>
          <w:tcPr>
            <w:tcW w:w="1900" w:type="dxa"/>
          </w:tcPr>
          <w:p>
            <w:pPr>
              <w:pStyle w:val="TableText"/>
            </w:pPr>
            <w:r>
              <w:t xml:space="preserve">Registrar → OSM</w:t>
            </w:r>
          </w:p>
        </w:tc>
        <w:tc>
          <w:tcPr>
            <w:tcW w:w="2700" w:type="dxa"/>
          </w:tcPr>
          <w:p>
            <w:pPr>
              <w:pStyle w:val="TableText"/>
            </w:pPr>
            <w:r>
              <w:t xml:space="preserve">Official list of enrolled students (name, official email, course, year level, school, sex)</w:t>
            </w:r>
          </w:p>
        </w:tc>
        <w:tc>
          <w:tcPr>
            <w:tcW w:w="1900" w:type="dxa"/>
          </w:tcPr>
          <w:p>
            <w:pPr>
              <w:pStyle w:val="TableText"/>
            </w:pPr>
            <w:r>
              <w:t xml:space="preserve">Once per term, before pairing starts; updates for late enrollees</w:t>
            </w:r>
          </w:p>
        </w:tc>
      </w:tr>
      <w:tr>
        <w:tc>
          <w:tcPr>
            <w:tcW w:w="800" w:type="dxa"/>
          </w:tcPr>
          <w:p>
            <w:pPr>
              <w:pStyle w:val="TableText"/>
            </w:pPr>
            <w:r>
              <w:t xml:space="preserve">BS-02</w:t>
            </w:r>
          </w:p>
        </w:tc>
        <w:tc>
          <w:tcPr>
            <w:tcW w:w="1700" w:type="dxa"/>
          </w:tcPr>
          <w:p>
            <w:pPr>
              <w:pStyle w:val="TableText"/>
            </w:pPr>
            <w:r>
              <w:t xml:space="preserve">Approved Mentor Roster</w:t>
            </w:r>
          </w:p>
        </w:tc>
        <w:tc>
          <w:tcPr>
            <w:tcW w:w="1900" w:type="dxa"/>
          </w:tcPr>
          <w:p>
            <w:pPr>
              <w:pStyle w:val="TableText"/>
            </w:pPr>
            <w:r>
              <w:t xml:space="preserve">OSM → School Mentoring Coordinators</w:t>
            </w:r>
          </w:p>
        </w:tc>
        <w:tc>
          <w:tcPr>
            <w:tcW w:w="2700" w:type="dxa"/>
          </w:tcPr>
          <w:p>
            <w:pPr>
              <w:pStyle w:val="TableText"/>
            </w:pPr>
            <w:r>
              <w:t xml:space="preserve">ManCom-approved mentors per school, with each mentor's declared capacity for the term</w:t>
            </w:r>
          </w:p>
        </w:tc>
        <w:tc>
          <w:tcPr>
            <w:tcW w:w="1900" w:type="dxa"/>
          </w:tcPr>
          <w:p>
            <w:pPr>
              <w:pStyle w:val="TableText"/>
            </w:pPr>
            <w:r>
              <w:t xml:space="preserve">Before pairing starts each term</w:t>
            </w:r>
          </w:p>
        </w:tc>
      </w:tr>
      <w:tr>
        <w:tc>
          <w:tcPr>
            <w:tcW w:w="800" w:type="dxa"/>
          </w:tcPr>
          <w:p>
            <w:pPr>
              <w:pStyle w:val="TableText"/>
            </w:pPr>
            <w:r>
              <w:t xml:space="preserve">BS-03</w:t>
            </w:r>
          </w:p>
        </w:tc>
        <w:tc>
          <w:tcPr>
            <w:tcW w:w="1700" w:type="dxa"/>
          </w:tcPr>
          <w:p>
            <w:pPr>
              <w:pStyle w:val="TableText"/>
            </w:pPr>
            <w:r>
              <w:t xml:space="preserve">Mentee-Mentor Pairing</w:t>
            </w:r>
          </w:p>
        </w:tc>
        <w:tc>
          <w:tcPr>
            <w:tcW w:w="1900" w:type="dxa"/>
          </w:tcPr>
          <w:p>
            <w:pPr>
              <w:pStyle w:val="TableText"/>
            </w:pPr>
            <w:r>
              <w:t xml:space="preserve">School Mentoring Coordinators → OSM, mentors, students</w:t>
            </w:r>
          </w:p>
        </w:tc>
        <w:tc>
          <w:tcPr>
            <w:tcW w:w="2700" w:type="dxa"/>
          </w:tcPr>
          <w:p>
            <w:pPr>
              <w:pStyle w:val="TableText"/>
            </w:pPr>
            <w:r>
              <w:t xml:space="preserve">Final pairings per school recorded in the central register; mentors and students notified</w:t>
            </w:r>
          </w:p>
        </w:tc>
        <w:tc>
          <w:tcPr>
            <w:tcW w:w="1900" w:type="dxa"/>
          </w:tcPr>
          <w:p>
            <w:pPr>
              <w:pStyle w:val="TableText"/>
            </w:pPr>
            <w:r>
              <w:t xml:space="preserve">All students paired before sessions start (SM-02)</w:t>
            </w:r>
          </w:p>
        </w:tc>
      </w:tr>
      <w:tr>
        <w:tc>
          <w:tcPr>
            <w:tcW w:w="800" w:type="dxa"/>
          </w:tcPr>
          <w:p>
            <w:pPr>
              <w:pStyle w:val="TableText"/>
            </w:pPr>
            <w:r>
              <w:t xml:space="preserve">BS-04</w:t>
            </w:r>
          </w:p>
        </w:tc>
        <w:tc>
          <w:tcPr>
            <w:tcW w:w="1700" w:type="dxa"/>
          </w:tcPr>
          <w:p>
            <w:pPr>
              <w:pStyle w:val="TableText"/>
            </w:pPr>
            <w:r>
              <w:t xml:space="preserve">Mentor Change Handling</w:t>
            </w:r>
          </w:p>
        </w:tc>
        <w:tc>
          <w:tcPr>
            <w:tcW w:w="1900" w:type="dxa"/>
          </w:tcPr>
          <w:p>
            <w:pPr>
              <w:pStyle w:val="TableText"/>
            </w:pPr>
            <w:r>
              <w:t xml:space="preserve">OSM and School Mentoring Coordinators → students, mentors</w:t>
            </w:r>
          </w:p>
        </w:tc>
        <w:tc>
          <w:tcPr>
            <w:tcW w:w="2700" w:type="dxa"/>
          </w:tcPr>
          <w:p>
            <w:pPr>
              <w:pStyle w:val="TableText"/>
            </w:pPr>
            <w:r>
              <w:t xml:space="preserve">Request intake, decision, register update and notification</w:t>
            </w:r>
          </w:p>
        </w:tc>
        <w:tc>
          <w:tcPr>
            <w:tcW w:w="1900" w:type="dxa"/>
          </w:tcPr>
          <w:p>
            <w:pPr>
              <w:pStyle w:val="TableText"/>
            </w:pPr>
            <w:r>
              <w:t xml:space="preserve">Within 2 working days (SM-05)</w:t>
            </w:r>
          </w:p>
        </w:tc>
      </w:tr>
      <w:tr>
        <w:tc>
          <w:tcPr>
            <w:tcW w:w="800" w:type="dxa"/>
          </w:tcPr>
          <w:p>
            <w:pPr>
              <w:pStyle w:val="TableText"/>
            </w:pPr>
            <w:r>
              <w:t xml:space="preserve">BS-05</w:t>
            </w:r>
          </w:p>
        </w:tc>
        <w:tc>
          <w:tcPr>
            <w:tcW w:w="1700" w:type="dxa"/>
          </w:tcPr>
          <w:p>
            <w:pPr>
              <w:pStyle w:val="TableText"/>
            </w:pPr>
            <w:r>
              <w:t xml:space="preserve">Session Log Confirmation</w:t>
            </w:r>
          </w:p>
        </w:tc>
        <w:tc>
          <w:tcPr>
            <w:tcW w:w="1900" w:type="dxa"/>
          </w:tcPr>
          <w:p>
            <w:pPr>
              <w:pStyle w:val="TableText"/>
            </w:pPr>
            <w:r>
              <w:t xml:space="preserve">Mentors → OSM</w:t>
            </w:r>
          </w:p>
        </w:tc>
        <w:tc>
          <w:tcPr>
            <w:tcW w:w="2700" w:type="dxa"/>
          </w:tcPr>
          <w:p>
            <w:pPr>
              <w:pStyle w:val="TableText"/>
            </w:pPr>
            <w:r>
              <w:t xml:space="preserve">Confirmation or correction request for each student-submitted session log, plus the required evaluation answer</w:t>
            </w:r>
          </w:p>
        </w:tc>
        <w:tc>
          <w:tcPr>
            <w:tcW w:w="1900" w:type="dxa"/>
          </w:tcPr>
          <w:p>
            <w:pPr>
              <w:pStyle w:val="TableText"/>
            </w:pPr>
            <w:r>
              <w:t xml:space="preserve">Each log confirmed or returned for correction</w:t>
            </w:r>
          </w:p>
        </w:tc>
      </w:tr>
      <w:tr>
        <w:tc>
          <w:tcPr>
            <w:tcW w:w="800" w:type="dxa"/>
          </w:tcPr>
          <w:p>
            <w:pPr>
              <w:pStyle w:val="TableText"/>
            </w:pPr>
            <w:r>
              <w:t xml:space="preserve">BS-06</w:t>
            </w:r>
          </w:p>
        </w:tc>
        <w:tc>
          <w:tcPr>
            <w:tcW w:w="1700" w:type="dxa"/>
          </w:tcPr>
          <w:p>
            <w:pPr>
              <w:pStyle w:val="TableText"/>
            </w:pPr>
            <w:r>
              <w:t xml:space="preserve">Compliance and Evaluation Reporting</w:t>
            </w:r>
          </w:p>
        </w:tc>
        <w:tc>
          <w:tcPr>
            <w:tcW w:w="1900" w:type="dxa"/>
          </w:tcPr>
          <w:p>
            <w:pPr>
              <w:pStyle w:val="TableText"/>
            </w:pPr>
            <w:r>
              <w:t xml:space="preserve">OSM → CSA Executive Director, ManCom</w:t>
            </w:r>
          </w:p>
        </w:tc>
        <w:tc>
          <w:tcPr>
            <w:tcW w:w="2700" w:type="dxa"/>
          </w:tcPr>
          <w:p>
            <w:pPr>
              <w:pStyle w:val="TableText"/>
            </w:pPr>
            <w:r>
              <w:t xml:space="preserve">Per-student session compliance and program evaluation results</w:t>
            </w:r>
          </w:p>
        </w:tc>
        <w:tc>
          <w:tcPr>
            <w:tcW w:w="1900" w:type="dxa"/>
          </w:tcPr>
          <w:p>
            <w:pPr>
              <w:pStyle w:val="TableText"/>
            </w:pPr>
            <w:r>
              <w:t xml:space="preserve">Once per semester (SM-08)</w:t>
            </w:r>
          </w:p>
        </w:tc>
      </w:tr>
      <w:tr>
        <w:tc>
          <w:tcPr>
            <w:tcW w:w="800" w:type="dxa"/>
          </w:tcPr>
          <w:p>
            <w:pPr>
              <w:pStyle w:val="TableText"/>
            </w:pPr>
            <w:r>
              <w:t xml:space="preserve">BS-07</w:t>
            </w:r>
          </w:p>
        </w:tc>
        <w:tc>
          <w:tcPr>
            <w:tcW w:w="1700" w:type="dxa"/>
          </w:tcPr>
          <w:p>
            <w:pPr>
              <w:pStyle w:val="TableText"/>
            </w:pPr>
            <w:r>
              <w:t xml:space="preserve">Mentor Approval</w:t>
            </w:r>
          </w:p>
        </w:tc>
        <w:tc>
          <w:tcPr>
            <w:tcW w:w="1900" w:type="dxa"/>
          </w:tcPr>
          <w:p>
            <w:pPr>
              <w:pStyle w:val="TableText"/>
            </w:pPr>
            <w:r>
              <w:t xml:space="preserve">Supervisor → OpCom → OSM → ManCom</w:t>
            </w:r>
          </w:p>
        </w:tc>
        <w:tc>
          <w:tcPr>
            <w:tcW w:w="2700" w:type="dxa"/>
          </w:tcPr>
          <w:p>
            <w:pPr>
              <w:pStyle w:val="TableText"/>
            </w:pPr>
            <w:r>
              <w:t xml:space="preserve">Recommended mentor candidates assessed against the (confidential) scorecard; ManCom approves the list</w:t>
            </w:r>
          </w:p>
        </w:tc>
        <w:tc>
          <w:tcPr>
            <w:tcW w:w="1900" w:type="dxa"/>
          </w:tcPr>
          <w:p>
            <w:pPr>
              <w:pStyle w:val="TableText"/>
            </w:pPr>
            <w:r>
              <w:t xml:space="preserve">Before the term's roster is issued</w:t>
            </w:r>
          </w:p>
        </w:tc>
      </w:tr>
      <w:tr>
        <w:tc>
          <w:tcPr>
            <w:tcW w:w="800" w:type="dxa"/>
          </w:tcPr>
          <w:p>
            <w:pPr>
              <w:pStyle w:val="TableText"/>
            </w:pPr>
            <w:r>
              <w:t xml:space="preserve">BS-08</w:t>
            </w:r>
          </w:p>
        </w:tc>
        <w:tc>
          <w:tcPr>
            <w:tcW w:w="1700" w:type="dxa"/>
          </w:tcPr>
          <w:p>
            <w:pPr>
              <w:pStyle w:val="TableText"/>
            </w:pPr>
            <w:r>
              <w:t xml:space="preserve">Mentor Development</w:t>
            </w:r>
          </w:p>
        </w:tc>
        <w:tc>
          <w:tcPr>
            <w:tcW w:w="1900" w:type="dxa"/>
          </w:tcPr>
          <w:p>
            <w:pPr>
              <w:pStyle w:val="TableText"/>
            </w:pPr>
            <w:r>
              <w:t xml:space="preserve">OSM with HR → mentors</w:t>
            </w:r>
          </w:p>
        </w:tc>
        <w:tc>
          <w:tcPr>
            <w:tcW w:w="2700" w:type="dxa"/>
          </w:tcPr>
          <w:p>
            <w:pPr>
              <w:pStyle w:val="TableText"/>
            </w:pPr>
            <w:r>
              <w:t xml:space="preserve">Mentor Development Programs (MDP) within HR's development programs</w:t>
            </w:r>
          </w:p>
        </w:tc>
        <w:tc>
          <w:tcPr>
            <w:tcW w:w="1900" w:type="dxa"/>
          </w:tcPr>
          <w:p>
            <w:pPr>
              <w:pStyle w:val="TableText"/>
            </w:pPr>
            <w:r>
              <w:t xml:space="preserve">Per OSM's yearly plan</w:t>
            </w:r>
          </w:p>
        </w:tc>
      </w:tr>
    </w:tbl>
    <w:p>
      <w:pPr>
        <w:pStyle w:val="BodyText"/>
      </w:pPr>
    </w:p>
    <w:p w14:paraId="3C838729" w14:textId="77777777" w:rsidR="00427C86" w:rsidRDefault="00427C86" w:rsidP="00427C86">
      <w:pPr>
        <w:pStyle w:val="Heading2"/>
      </w:pPr>
      <w:bookmarkStart w:id="15" w:name="_Toc138408742"/>
      <w:bookmarkStart w:id="16" w:name="_Toc170898810"/>
      <w:r>
        <w:t>Application Service Contracts</w:t>
      </w:r>
      <w:bookmarkEnd w:id="15"/>
      <w:bookmarkEnd w:id="16"/>
    </w:p>
    <w:p>
      <w:pPr>
        <w:pStyle w:val="BodyText"/>
      </w:pPr>
      <w:r>
        <w:t xml:space="preserve">To be completed in Phase C (Information Systems Architecture). Business need handed over from Phase B: a single program, website or application through which students, mentors, coordinators and OSM carry out pairing, mentor change, mentee contact, session logging and monitoring, with one shared pairing register (team decision, 2026-10-29).</w:t>
      </w:r>
    </w:p>
    <w:p w14:paraId="1CE515A6" w14:textId="77777777" w:rsidR="00427C86" w:rsidRDefault="00427C86" w:rsidP="00427C86">
      <w:pPr>
        <w:pStyle w:val="Heading2"/>
      </w:pPr>
      <w:bookmarkStart w:id="17" w:name="_Toc138408743"/>
      <w:bookmarkStart w:id="18" w:name="_Toc170898811"/>
      <w:r>
        <w:t>Implementation Guidelines</w:t>
      </w:r>
      <w:bookmarkEnd w:id="17"/>
      <w:bookmarkEnd w:id="18"/>
    </w:p>
    <w:p>
      <w:pPr>
        <w:pStyle w:val="BodyText"/>
      </w:pPr>
      <w:r>
        <w:t xml:space="preserve">Business-level guidelines that any implementation must respect:</w:t>
      </w:r>
    </w:p>
    <w:p>
      <w:pPr>
        <w:pStyle w:val="BulletList"/>
      </w:pPr>
      <w:r>
        <w:t xml:space="preserve">The School Mentoring Coordinator keeps the pairing decision. The architecture supports pairing; it does not take it over.</w:t>
      </w:r>
    </w:p>
    <w:p>
      <w:pPr>
        <w:pStyle w:val="BulletList"/>
      </w:pPr>
      <w:r>
        <w:t xml:space="preserve">Pair students with mentors from the same school wherever possible. Cross-school referral and coordinator absorption remain allowed for overflow and must be recorded.</w:t>
      </w:r>
    </w:p>
    <w:p>
      <w:pPr>
        <w:pStyle w:val="BulletList"/>
      </w:pPr>
      <w:r>
        <w:t xml:space="preserve">Each school's student list is split between its male and female coordinators. Same-gender mentor pairing is not a university-wide rule; one coordinator (SSE) reported it as practice.</w:t>
      </w:r>
    </w:p>
    <w:p>
      <w:pPr>
        <w:pStyle w:val="BulletList"/>
      </w:pPr>
      <w:r>
        <w:t xml:space="preserve">Name one data owner at OSM who maintains the pairing register every term (graduates, transfers, new students).</w:t>
      </w:r>
    </w:p>
    <w:p>
      <w:pPr>
        <w:pStyle w:val="BulletList"/>
      </w:pPr>
      <w:r>
        <w:t xml:space="preserve">Replace email relays with tracked steps in one workflow; email may remain only as a notification channel.</w:t>
      </w:r>
    </w:p>
    <w:p>
      <w:pPr>
        <w:pStyle w:val="BulletList"/>
      </w:pPr>
      <w:r>
        <w:t xml:space="preserve">The schools' internal matching criteria stay outside the architecture (decision of 2026-09-14).</w:t>
      </w:r>
    </w:p>
    <w:p w14:paraId="1B7C4E69" w14:textId="77777777" w:rsidR="00427C86" w:rsidRDefault="00427C86" w:rsidP="00427C86">
      <w:pPr>
        <w:pStyle w:val="Heading2"/>
      </w:pPr>
      <w:bookmarkStart w:id="19" w:name="_Toc138408744"/>
      <w:bookmarkStart w:id="20" w:name="_Toc170898812"/>
      <w:r>
        <w:t>Implementation Specifications</w:t>
      </w:r>
      <w:bookmarkEnd w:id="19"/>
      <w:bookmarkEnd w:id="20"/>
    </w:p>
    <w:p>
      <w:pPr>
        <w:pStyle w:val="BodyText"/>
      </w:pPr>
      <w:r>
        <w:t xml:space="preserve">To be completed in Phase C (Information Systems Architecture). Detailed specifications follow from the Data and Application Architectures.</w:t>
      </w:r>
    </w:p>
    <w:p w14:paraId="0AD8C21A" w14:textId="77777777" w:rsidR="00427C86" w:rsidRDefault="00427C86" w:rsidP="00427C86">
      <w:pPr>
        <w:pStyle w:val="Heading2"/>
      </w:pPr>
      <w:bookmarkStart w:id="21" w:name="_Toc138408745"/>
      <w:bookmarkStart w:id="22" w:name="_Toc170898813"/>
      <w:r>
        <w:t>Implementation Standards</w:t>
      </w:r>
      <w:bookmarkEnd w:id="21"/>
      <w:bookmarkEnd w:id="22"/>
    </w:p>
    <w:p>
      <w:pPr>
        <w:pStyle w:val="BodyText"/>
      </w:pPr>
      <w:r>
        <w:t xml:space="preserve">To be completed in Phases C and D. Business-level standards already known: the UA&amp;P Student Handbook on Mentoring, and the three-sessions-per-semester policy (AY 2026-27). The mentor-approval scorecard is confidential and must stay restricted to OSM and the approving bodies.</w:t>
      </w:r>
    </w:p>
    <w:p w14:paraId="389B1C83" w14:textId="77777777" w:rsidR="00427C86" w:rsidRDefault="00427C86" w:rsidP="00427C86">
      <w:pPr>
        <w:pStyle w:val="Heading2"/>
      </w:pPr>
      <w:bookmarkStart w:id="23" w:name="_Toc138408746"/>
      <w:bookmarkStart w:id="24" w:name="_Toc170898814"/>
      <w:r>
        <w:t>Interoperability Requirements</w:t>
      </w:r>
      <w:bookmarkEnd w:id="23"/>
      <w:bookmarkEnd w:id="24"/>
    </w:p>
    <w:p>
      <w:pPr>
        <w:pStyle w:val="BodyText"/>
      </w:pPr>
      <w:r>
        <w:t xml:space="preserve">Business-level interoperability needs (technical detail to follow in Phases C and D):</w:t>
      </w:r>
    </w:p>
    <w:p>
      <w:pPr>
        <w:pStyle w:val="BulletList"/>
      </w:pPr>
      <w:r>
        <w:t xml:space="preserve">The Registrar's student list must arrive in one agreed format that OSM can load without re-typing.</w:t>
      </w:r>
    </w:p>
    <w:p>
      <w:pPr>
        <w:pStyle w:val="BulletList"/>
      </w:pPr>
      <w:r>
        <w:t xml:space="preserve">The pairing register must be the one reference shared by OSM, all School Mentoring Coordinators and mentors.</w:t>
      </w:r>
    </w:p>
    <w:p>
      <w:pPr>
        <w:pStyle w:val="BulletList"/>
      </w:pPr>
      <w:r>
        <w:t xml:space="preserve">Every session log must reference a registered mentee-mentor pairing (today the two Google Sheets are not connected).</w:t>
      </w:r>
    </w:p>
    <w:p w14:paraId="31A1A8DB" w14:textId="77777777" w:rsidR="00427C86" w:rsidRDefault="00427C86" w:rsidP="00427C86">
      <w:pPr>
        <w:pStyle w:val="Heading2"/>
      </w:pPr>
      <w:bookmarkStart w:id="25" w:name="_Toc138408747"/>
      <w:bookmarkStart w:id="26" w:name="_Toc170898815"/>
      <w:r>
        <w:t>IT Service Management Requirements</w:t>
      </w:r>
      <w:bookmarkEnd w:id="25"/>
      <w:bookmarkEnd w:id="26"/>
    </w:p>
    <w:p>
      <w:pPr>
        <w:pStyle w:val="BodyText"/>
      </w:pPr>
      <w:r>
        <w:t xml:space="preserve">To be completed in Phase D (Technology Architecture). Business need handed over: someone must own the register's upkeep each term, so the data does not decay (student statuses, graduates, transfers).</w:t>
      </w:r>
    </w:p>
    <w:p w14:paraId="21D7962E" w14:textId="77777777" w:rsidR="00427C86" w:rsidRDefault="00427C86" w:rsidP="00427C86">
      <w:pPr>
        <w:pStyle w:val="Heading2"/>
      </w:pPr>
      <w:bookmarkStart w:id="27" w:name="_Toc138408748"/>
      <w:bookmarkStart w:id="28" w:name="_Toc170898816"/>
      <w:r>
        <w:t>Constraints</w:t>
      </w:r>
      <w:bookmarkEnd w:id="27"/>
      <w:bookmarkEnd w:id="28"/>
    </w:p>
    <w:tbl>
      <w:tblPr>
        <w:tblStyle w:val="TableGrid"/>
        <w:tblW w:w="9000" w:type="dxa"/>
        <w:tblLook w:val="04A0" w:firstRow="1" w:lastRow="0" w:firstColumn="1" w:lastColumn="0" w:noHBand="0" w:noVBand="1"/>
      </w:tblPr>
      <w:tblGrid>
        <w:gridCol w:w="800"/>
        <w:gridCol w:w="6000"/>
        <w:gridCol w:w="2200"/>
      </w:tblGrid>
      <w:tr>
        <w:trPr>
          <w:tblHeader/>
        </w:trPr>
        <w:tc>
          <w:tcPr>
            <w:tcW w:w="800" w:type="dxa"/>
            <w:shd w:val="clear" w:color="auto" w:fill="D9E2F3"/>
          </w:tcPr>
          <w:p>
            <w:pPr>
              <w:pStyle w:val="TableText"/>
            </w:pPr>
            <w:r>
              <w:rPr>
                <w:b/>
              </w:rPr>
              <w:t xml:space="preserve">ID</w:t>
            </w:r>
          </w:p>
        </w:tc>
        <w:tc>
          <w:tcPr>
            <w:tcW w:w="6000" w:type="dxa"/>
            <w:shd w:val="clear" w:color="auto" w:fill="D9E2F3"/>
          </w:tcPr>
          <w:p>
            <w:pPr>
              <w:pStyle w:val="TableText"/>
            </w:pPr>
            <w:r>
              <w:rPr>
                <w:b/>
              </w:rPr>
              <w:t xml:space="preserve">Constraint</w:t>
            </w:r>
          </w:p>
        </w:tc>
        <w:tc>
          <w:tcPr>
            <w:tcW w:w="2200" w:type="dxa"/>
            <w:shd w:val="clear" w:color="auto" w:fill="D9E2F3"/>
          </w:tcPr>
          <w:p>
            <w:pPr>
              <w:pStyle w:val="TableText"/>
            </w:pPr>
            <w:r>
              <w:rPr>
                <w:b/>
              </w:rPr>
              <w:t xml:space="preserve">Source</w:t>
            </w:r>
          </w:p>
        </w:tc>
      </w:tr>
      <w:tr>
        <w:tc>
          <w:tcPr>
            <w:tcW w:w="800" w:type="dxa"/>
          </w:tcPr>
          <w:p>
            <w:pPr>
              <w:pStyle w:val="TableText"/>
            </w:pPr>
            <w:r>
              <w:t xml:space="preserve">C-01</w:t>
            </w:r>
          </w:p>
        </w:tc>
        <w:tc>
          <w:tcPr>
            <w:tcW w:w="6000" w:type="dxa"/>
          </w:tcPr>
          <w:p>
            <w:pPr>
              <w:pStyle w:val="TableText"/>
            </w:pPr>
            <w:r>
              <w:t xml:space="preserve">The three-sessions-per-semester requirement is non-negotiable.</w:t>
            </w:r>
          </w:p>
        </w:tc>
        <w:tc>
          <w:tcPr>
            <w:tcW w:w="2200" w:type="dxa"/>
          </w:tcPr>
          <w:p>
            <w:pPr>
              <w:pStyle w:val="TableText"/>
            </w:pPr>
            <w:r>
              <w:t xml:space="preserve">Interview with OSM (2026-09-28)</w:t>
            </w:r>
          </w:p>
        </w:tc>
      </w:tr>
      <w:tr>
        <w:tc>
          <w:tcPr>
            <w:tcW w:w="800" w:type="dxa"/>
          </w:tcPr>
          <w:p>
            <w:pPr>
              <w:pStyle w:val="TableText"/>
            </w:pPr>
            <w:r>
              <w:t xml:space="preserve">C-02</w:t>
            </w:r>
          </w:p>
        </w:tc>
        <w:tc>
          <w:tcPr>
            <w:tcW w:w="6000" w:type="dxa"/>
          </w:tcPr>
          <w:p>
            <w:pPr>
              <w:pStyle w:val="TableText"/>
            </w:pPr>
            <w:r>
              <w:t xml:space="preserve">Pairings are decided by each school's Mentoring Coordinator, not by OSM.</w:t>
            </w:r>
          </w:p>
        </w:tc>
        <w:tc>
          <w:tcPr>
            <w:tcW w:w="2200" w:type="dxa"/>
          </w:tcPr>
          <w:p>
            <w:pPr>
              <w:pStyle w:val="TableText"/>
            </w:pPr>
            <w:r>
              <w:t xml:space="preserve">Interviews with SSE and SED Mentoring Coordinators</w:t>
            </w:r>
          </w:p>
        </w:tc>
      </w:tr>
      <w:tr>
        <w:tc>
          <w:tcPr>
            <w:tcW w:w="800" w:type="dxa"/>
          </w:tcPr>
          <w:p>
            <w:pPr>
              <w:pStyle w:val="TableText"/>
            </w:pPr>
            <w:r>
              <w:t xml:space="preserve">C-03</w:t>
            </w:r>
          </w:p>
        </w:tc>
        <w:tc>
          <w:tcPr>
            <w:tcW w:w="6000" w:type="dxa"/>
          </w:tcPr>
          <w:p>
            <w:pPr>
              <w:pStyle w:val="TableText"/>
            </w:pPr>
            <w:r>
              <w:t xml:space="preserve">OSM has two staff (monitoring; mentor training).</w:t>
            </w:r>
          </w:p>
        </w:tc>
        <w:tc>
          <w:tcPr>
            <w:tcW w:w="2200" w:type="dxa"/>
          </w:tcPr>
          <w:p>
            <w:pPr>
              <w:pStyle w:val="TableText"/>
            </w:pPr>
            <w:r>
              <w:t xml:space="preserve">Interview with OSM (2026-09-28)</w:t>
            </w:r>
          </w:p>
        </w:tc>
      </w:tr>
      <w:tr>
        <w:tc>
          <w:tcPr>
            <w:tcW w:w="800" w:type="dxa"/>
          </w:tcPr>
          <w:p>
            <w:pPr>
              <w:pStyle w:val="TableText"/>
            </w:pPr>
            <w:r>
              <w:t xml:space="preserve">C-04</w:t>
            </w:r>
          </w:p>
        </w:tc>
        <w:tc>
          <w:tcPr>
            <w:tcW w:w="6000" w:type="dxa"/>
          </w:tcPr>
          <w:p>
            <w:pPr>
              <w:pStyle w:val="TableText"/>
            </w:pPr>
            <w:r>
              <w:t xml:space="preserve">The Registrar's freshman list is only final after enrollment closes, which delays pairing.</w:t>
            </w:r>
          </w:p>
        </w:tc>
        <w:tc>
          <w:tcPr>
            <w:tcW w:w="2200" w:type="dxa"/>
          </w:tcPr>
          <w:p>
            <w:pPr>
              <w:pStyle w:val="TableText"/>
            </w:pPr>
            <w:r>
              <w:t xml:space="preserve">Interviews with SSE and SED Mentoring Coordinators</w:t>
            </w:r>
          </w:p>
        </w:tc>
      </w:tr>
      <w:tr>
        <w:tc>
          <w:tcPr>
            <w:tcW w:w="800" w:type="dxa"/>
          </w:tcPr>
          <w:p>
            <w:pPr>
              <w:pStyle w:val="TableText"/>
            </w:pPr>
            <w:r>
              <w:t xml:space="preserve">C-05</w:t>
            </w:r>
          </w:p>
        </w:tc>
        <w:tc>
          <w:tcPr>
            <w:tcW w:w="6000" w:type="dxa"/>
          </w:tcPr>
          <w:p>
            <w:pPr>
              <w:pStyle w:val="TableText"/>
            </w:pPr>
            <w:r>
              <w:t xml:space="preserve">Strategic direction is set by the CSA operations committee and ManCom, not by OSM.</w:t>
            </w:r>
          </w:p>
        </w:tc>
        <w:tc>
          <w:tcPr>
            <w:tcW w:w="2200" w:type="dxa"/>
          </w:tcPr>
          <w:p>
            <w:pPr>
              <w:pStyle w:val="TableText"/>
            </w:pPr>
            <w:r>
              <w:t xml:space="preserve">Interview with OSM (2026-09-28)</w:t>
            </w:r>
          </w:p>
        </w:tc>
      </w:tr>
      <w:tr>
        <w:tc>
          <w:tcPr>
            <w:tcW w:w="800" w:type="dxa"/>
          </w:tcPr>
          <w:p>
            <w:pPr>
              <w:pStyle w:val="TableText"/>
            </w:pPr>
            <w:r>
              <w:t xml:space="preserve">C-06</w:t>
            </w:r>
          </w:p>
        </w:tc>
        <w:tc>
          <w:tcPr>
            <w:tcW w:w="6000" w:type="dxa"/>
          </w:tcPr>
          <w:p>
            <w:pPr>
              <w:pStyle w:val="TableText"/>
            </w:pPr>
            <w:r>
              <w:t xml:space="preserve">The IT Office creates the forms and sheets; OSM manages them.</w:t>
            </w:r>
          </w:p>
        </w:tc>
        <w:tc>
          <w:tcPr>
            <w:tcW w:w="2200" w:type="dxa"/>
          </w:tcPr>
          <w:p>
            <w:pPr>
              <w:pStyle w:val="TableText"/>
            </w:pPr>
            <w:r>
              <w:t xml:space="preserve">Interview with OSM (2026-09-28)</w:t>
            </w:r>
          </w:p>
        </w:tc>
      </w:tr>
      <w:tr>
        <w:tc>
          <w:tcPr>
            <w:tcW w:w="800" w:type="dxa"/>
          </w:tcPr>
          <w:p>
            <w:pPr>
              <w:pStyle w:val="TableText"/>
            </w:pPr>
            <w:r>
              <w:t xml:space="preserve">C-07</w:t>
            </w:r>
          </w:p>
        </w:tc>
        <w:tc>
          <w:tcPr>
            <w:tcW w:w="6000" w:type="dxa"/>
          </w:tcPr>
          <w:p>
            <w:pPr>
              <w:pStyle w:val="TableText"/>
            </w:pPr>
            <w:r>
              <w:t xml:space="preserve">Work follows the semester rhythm: pairing at the start, compliance checked by the end.</w:t>
            </w:r>
          </w:p>
        </w:tc>
        <w:tc>
          <w:tcPr>
            <w:tcW w:w="2200" w:type="dxa"/>
          </w:tcPr>
          <w:p>
            <w:pPr>
              <w:pStyle w:val="TableText"/>
            </w:pPr>
            <w:r>
              <w:t xml:space="preserve">Interview with OSM (2026-09-11); Interview with SSE Mentoring Coordinator (2026-10-16)</w:t>
            </w:r>
          </w:p>
        </w:tc>
      </w:tr>
      <w:tr>
        <w:tc>
          <w:tcPr>
            <w:tcW w:w="800" w:type="dxa"/>
          </w:tcPr>
          <w:p>
            <w:pPr>
              <w:pStyle w:val="TableText"/>
            </w:pPr>
            <w:r>
              <w:t xml:space="preserve">C-08</w:t>
            </w:r>
          </w:p>
        </w:tc>
        <w:tc>
          <w:tcPr>
            <w:tcW w:w="6000" w:type="dxa"/>
          </w:tcPr>
          <w:p>
            <w:pPr>
              <w:pStyle w:val="TableText"/>
            </w:pPr>
            <w:r>
              <w:t xml:space="preserve">Mentor supply is limited; mentor loads range from 2 to 50 mentees, set by each mentor's willingness.</w:t>
            </w:r>
          </w:p>
        </w:tc>
        <w:tc>
          <w:tcPr>
            <w:tcW w:w="2200" w:type="dxa"/>
          </w:tcPr>
          <w:p>
            <w:pPr>
              <w:pStyle w:val="TableText"/>
            </w:pPr>
            <w:r>
              <w:t xml:space="preserve">Interviews with SSE and SED Mentoring Coordinators</w:t>
            </w:r>
          </w:p>
        </w:tc>
      </w:tr>
    </w:tbl>
    <w:p>
      <w:pPr>
        <w:pStyle w:val="BodyText"/>
      </w:pPr>
    </w:p>
    <w:p w14:paraId="52367104" w14:textId="59F9D621" w:rsidR="00620A61" w:rsidRPr="00620A61" w:rsidRDefault="00427C86" w:rsidP="00620A61">
      <w:pPr>
        <w:pStyle w:val="Heading2"/>
      </w:pPr>
      <w:bookmarkStart w:id="29" w:name="_Toc138408749"/>
      <w:bookmarkStart w:id="30" w:name="_Toc170898817"/>
      <w:r>
        <w:t>Assumptions</w:t>
      </w:r>
      <w:bookmarkEnd w:id="29"/>
      <w:bookmarkEnd w:id="30"/>
    </w:p>
    <w:tbl>
      <w:tblPr>
        <w:tblStyle w:val="TableGrid"/>
        <w:tblW w:w="9000" w:type="dxa"/>
        <w:tblLook w:val="04A0" w:firstRow="1" w:lastRow="0" w:firstColumn="1" w:lastColumn="0" w:noHBand="0" w:noVBand="1"/>
      </w:tblPr>
      <w:tblGrid>
        <w:gridCol w:w="800"/>
        <w:gridCol w:w="5200"/>
        <w:gridCol w:w="3000"/>
      </w:tblGrid>
      <w:tr>
        <w:trPr>
          <w:tblHeader/>
        </w:trPr>
        <w:tc>
          <w:tcPr>
            <w:tcW w:w="800" w:type="dxa"/>
            <w:shd w:val="clear" w:color="auto" w:fill="D9E2F3"/>
          </w:tcPr>
          <w:p>
            <w:pPr>
              <w:pStyle w:val="TableText"/>
            </w:pPr>
            <w:r>
              <w:rPr>
                <w:b/>
              </w:rPr>
              <w:t xml:space="preserve">ID</w:t>
            </w:r>
          </w:p>
        </w:tc>
        <w:tc>
          <w:tcPr>
            <w:tcW w:w="5200" w:type="dxa"/>
            <w:shd w:val="clear" w:color="auto" w:fill="D9E2F3"/>
          </w:tcPr>
          <w:p>
            <w:pPr>
              <w:pStyle w:val="TableText"/>
            </w:pPr>
            <w:r>
              <w:rPr>
                <w:b/>
              </w:rPr>
              <w:t xml:space="preserve">Assumption</w:t>
            </w:r>
          </w:p>
        </w:tc>
        <w:tc>
          <w:tcPr>
            <w:tcW w:w="3000" w:type="dxa"/>
            <w:shd w:val="clear" w:color="auto" w:fill="D9E2F3"/>
          </w:tcPr>
          <w:p>
            <w:pPr>
              <w:pStyle w:val="TableText"/>
            </w:pPr>
            <w:r>
              <w:rPr>
                <w:b/>
              </w:rPr>
              <w:t xml:space="preserve">Status</w:t>
            </w:r>
          </w:p>
        </w:tc>
      </w:tr>
      <w:tr>
        <w:tc>
          <w:tcPr>
            <w:tcW w:w="800" w:type="dxa"/>
          </w:tcPr>
          <w:p>
            <w:pPr>
              <w:pStyle w:val="TableText"/>
            </w:pPr>
            <w:r>
              <w:t xml:space="preserve">A-01</w:t>
            </w:r>
          </w:p>
        </w:tc>
        <w:tc>
          <w:tcPr>
            <w:tcW w:w="5200" w:type="dxa"/>
          </w:tcPr>
          <w:p>
            <w:pPr>
              <w:pStyle w:val="TableText"/>
            </w:pPr>
            <w:r>
              <w:t xml:space="preserve">Students will log their sessions properly once logging is their responsibility.</w:t>
            </w:r>
          </w:p>
        </w:tc>
        <w:tc>
          <w:tcPr>
            <w:tcW w:w="3000" w:type="dxa"/>
          </w:tcPr>
          <w:p>
            <w:pPr>
              <w:pStyle w:val="TableText"/>
            </w:pPr>
            <w:r>
              <w:t xml:space="preserve">Verified: required by the University's three-sessions-per-semester mentoring policy (AY 2026-27)</w:t>
            </w:r>
          </w:p>
        </w:tc>
      </w:tr>
      <w:tr>
        <w:tc>
          <w:tcPr>
            <w:tcW w:w="800" w:type="dxa"/>
          </w:tcPr>
          <w:p>
            <w:pPr>
              <w:pStyle w:val="TableText"/>
            </w:pPr>
            <w:r>
              <w:t xml:space="preserve">A-02</w:t>
            </w:r>
          </w:p>
        </w:tc>
        <w:tc>
          <w:tcPr>
            <w:tcW w:w="5200" w:type="dxa"/>
          </w:tcPr>
          <w:p>
            <w:pPr>
              <w:pStyle w:val="TableText"/>
            </w:pPr>
            <w:r>
              <w:t xml:space="preserve">The Registrar will agree to send one official list to OSM instead of to each coordinator.</w:t>
            </w:r>
          </w:p>
        </w:tc>
        <w:tc>
          <w:tcPr>
            <w:tcW w:w="3000" w:type="dxa"/>
          </w:tcPr>
          <w:p>
            <w:pPr>
              <w:pStyle w:val="TableText"/>
            </w:pPr>
            <w:r>
              <w:t xml:space="preserve">To confirm with Registrar</w:t>
            </w:r>
          </w:p>
        </w:tc>
      </w:tr>
      <w:tr>
        <w:tc>
          <w:tcPr>
            <w:tcW w:w="800" w:type="dxa"/>
          </w:tcPr>
          <w:p>
            <w:pPr>
              <w:pStyle w:val="TableText"/>
            </w:pPr>
            <w:r>
              <w:t xml:space="preserve">A-03</w:t>
            </w:r>
          </w:p>
        </w:tc>
        <w:tc>
          <w:tcPr>
            <w:tcW w:w="5200" w:type="dxa"/>
          </w:tcPr>
          <w:p>
            <w:pPr>
              <w:pStyle w:val="TableText"/>
            </w:pPr>
            <w:r>
              <w:t xml:space="preserve">Coordinators will adopt one central workflow in place of their own lists and emails.</w:t>
            </w:r>
          </w:p>
        </w:tc>
        <w:tc>
          <w:tcPr>
            <w:tcW w:w="3000" w:type="dxa"/>
          </w:tcPr>
          <w:p>
            <w:pPr>
              <w:pStyle w:val="TableText"/>
            </w:pPr>
            <w:r>
              <w:t xml:space="preserve">To confirm with coordinators</w:t>
            </w:r>
          </w:p>
        </w:tc>
      </w:tr>
      <w:tr>
        <w:tc>
          <w:tcPr>
            <w:tcW w:w="800" w:type="dxa"/>
          </w:tcPr>
          <w:p>
            <w:pPr>
              <w:pStyle w:val="TableText"/>
            </w:pPr>
            <w:r>
              <w:t xml:space="preserve">A-04</w:t>
            </w:r>
          </w:p>
        </w:tc>
        <w:tc>
          <w:tcPr>
            <w:tcW w:w="5200" w:type="dxa"/>
          </w:tcPr>
          <w:p>
            <w:pPr>
              <w:pStyle w:val="TableText"/>
            </w:pPr>
            <w:r>
              <w:t xml:space="preserve">Mentors will declare their capacity each term.</w:t>
            </w:r>
          </w:p>
        </w:tc>
        <w:tc>
          <w:tcPr>
            <w:tcW w:w="3000" w:type="dxa"/>
          </w:tcPr>
          <w:p>
            <w:pPr>
              <w:pStyle w:val="TableText"/>
            </w:pPr>
            <w:r>
              <w:t xml:space="preserve">Confirmed (Interview with SSE Mentoring Coordinator (2026-10-16))</w:t>
            </w:r>
          </w:p>
        </w:tc>
      </w:tr>
      <w:tr>
        <w:tc>
          <w:tcPr>
            <w:tcW w:w="800" w:type="dxa"/>
          </w:tcPr>
          <w:p>
            <w:pPr>
              <w:pStyle w:val="TableText"/>
            </w:pPr>
            <w:r>
              <w:t xml:space="preserve">A-05</w:t>
            </w:r>
          </w:p>
        </w:tc>
        <w:tc>
          <w:tcPr>
            <w:tcW w:w="5200" w:type="dxa"/>
          </w:tcPr>
          <w:p>
            <w:pPr>
              <w:pStyle w:val="TableText"/>
            </w:pPr>
            <w:r>
              <w:t xml:space="preserve">The session-log sheet and the pairing lists are not connected today.</w:t>
            </w:r>
          </w:p>
        </w:tc>
        <w:tc>
          <w:tcPr>
            <w:tcW w:w="3000" w:type="dxa"/>
          </w:tcPr>
          <w:p>
            <w:pPr>
              <w:pStyle w:val="TableText"/>
            </w:pPr>
            <w:r>
              <w:t xml:space="preserve">Interview with OSM (2026-09-11); to be re-confirmed with OSM</w:t>
            </w:r>
          </w:p>
        </w:tc>
      </w:tr>
      <w:tr>
        <w:tc>
          <w:tcPr>
            <w:tcW w:w="800" w:type="dxa"/>
          </w:tcPr>
          <w:p>
            <w:pPr>
              <w:pStyle w:val="TableText"/>
            </w:pPr>
            <w:r>
              <w:t xml:space="preserve">A-06</w:t>
            </w:r>
          </w:p>
        </w:tc>
        <w:tc>
          <w:tcPr>
            <w:tcW w:w="5200" w:type="dxa"/>
          </w:tcPr>
          <w:p>
            <w:pPr>
              <w:pStyle w:val="TableText"/>
            </w:pPr>
            <w:r>
              <w:t xml:space="preserve">The IT Office can support a single platform for these workflows.</w:t>
            </w:r>
          </w:p>
        </w:tc>
        <w:tc>
          <w:tcPr>
            <w:tcW w:w="3000" w:type="dxa"/>
          </w:tcPr>
          <w:p>
            <w:pPr>
              <w:pStyle w:val="TableText"/>
            </w:pPr>
            <w:r>
              <w:t xml:space="preserve">To confirm with the IT Office</w:t>
            </w:r>
          </w:p>
        </w:tc>
      </w:tr>
    </w:tbl>
    <w:p>
      <w:pPr>
        <w:pStyle w:val="BodyText"/>
      </w:pPr>
    </w:p>
    <w:sectPr w:rsidR="00620A61" w:rsidRPr="00620A61"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093D1" w14:textId="77777777" w:rsidR="00EC5529" w:rsidRDefault="00EC5529">
      <w:r>
        <w:separator/>
      </w:r>
    </w:p>
  </w:endnote>
  <w:endnote w:type="continuationSeparator" w:id="0">
    <w:p w14:paraId="75B1EE41" w14:textId="77777777" w:rsidR="00EC5529" w:rsidRDefault="00EC5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773A01C" w:rsidR="00EB2B0D" w:rsidRPr="00A27D65" w:rsidRDefault="00427C86" w:rsidP="00FE3027">
    <w:pPr>
      <w:pStyle w:val="Footer"/>
      <w:tabs>
        <w:tab w:val="clear" w:pos="4320"/>
      </w:tabs>
      <w:rPr>
        <w:szCs w:val="20"/>
      </w:rPr>
    </w:pPr>
    <w:r w:rsidRPr="00427C86">
      <w:rPr>
        <w:color w:val="000000"/>
        <w:sz w:val="16"/>
        <w:szCs w:val="16"/>
      </w:rPr>
      <w:t>TOGAF</w:t>
    </w:r>
    <w:r w:rsidRPr="00427C86">
      <w:rPr>
        <w:color w:val="000000"/>
        <w:sz w:val="16"/>
        <w:szCs w:val="16"/>
        <w:vertAlign w:val="superscript"/>
      </w:rPr>
      <w:t>®</w:t>
    </w:r>
    <w:r w:rsidRPr="00427C86">
      <w:rPr>
        <w:color w:val="000000"/>
        <w:sz w:val="16"/>
        <w:szCs w:val="16"/>
      </w:rPr>
      <w:t xml:space="preserve"> Architecture Requirements Specification (Phase B)</w:t>
    </w:r>
    <w:r w:rsidRPr="00427C86">
      <w:rPr>
        <w:color w:val="000000"/>
        <w:szCs w:val="20"/>
      </w:rPr>
      <w:t xml:space="preserve">                      </w:t>
    </w:r>
    <w:r w:rsidRPr="00427C86">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A346D" w14:textId="77777777" w:rsidR="00EC5529" w:rsidRDefault="00EC5529">
      <w:r>
        <w:separator/>
      </w:r>
    </w:p>
  </w:footnote>
  <w:footnote w:type="continuationSeparator" w:id="0">
    <w:p w14:paraId="1E5FBED8" w14:textId="77777777" w:rsidR="00EC5529" w:rsidRDefault="00EC5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EC5529">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EC5529">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3D5EBBB7" w:rsidR="00EB2B0D" w:rsidRDefault="00EC5529">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155DAC">
      <w:rPr>
        <w:noProof/>
      </w:rPr>
      <w:drawing>
        <wp:inline distT="0" distB="0" distL="0" distR="0" wp14:anchorId="5057F530" wp14:editId="4207B95B">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55A6A"/>
    <w:rsid w:val="00155DAC"/>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27C86"/>
    <w:rsid w:val="004443A4"/>
    <w:rsid w:val="00465DCD"/>
    <w:rsid w:val="00465FE1"/>
    <w:rsid w:val="00465FE7"/>
    <w:rsid w:val="00485FFD"/>
    <w:rsid w:val="00490183"/>
    <w:rsid w:val="00492019"/>
    <w:rsid w:val="00497A7E"/>
    <w:rsid w:val="00497CF1"/>
    <w:rsid w:val="004A234A"/>
    <w:rsid w:val="004A7C15"/>
    <w:rsid w:val="004C367E"/>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6A15"/>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301F"/>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B627F"/>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363E5"/>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D5194"/>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C5529"/>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6A15"/>
    <w:pPr>
      <w:spacing w:after="120"/>
    </w:pPr>
    <w:rPr>
      <w:rFonts w:ascii="Verdana" w:hAnsi="Verdana"/>
      <w:szCs w:val="24"/>
      <w:lang w:val="en-US" w:eastAsia="en-US"/>
    </w:rPr>
  </w:style>
  <w:style w:type="paragraph" w:styleId="Heading1">
    <w:name w:val="heading 1"/>
    <w:next w:val="BodyText"/>
    <w:qFormat/>
    <w:rsid w:val="005B6A15"/>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5B6A15"/>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427C86"/>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427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3695</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2024-07-01T16:11:00Z</dcterms:created>
  <dcterms:modified xsi:type="dcterms:W3CDTF">2024-07-03T12:02:00Z</dcterms:modified>
</cp:coreProperties>
</file>