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pPr>
      <w:r>
        <w:rPr>
          <w:b/>
          <w:color w:val="1F4E79"/>
          <w:sz w:val="48"/>
        </w:rPr>
        <w:t>Enterprise Architecture Preliminary Phase Proposal</w:t>
      </w:r>
    </w:p>
    <w:p>
      <w:pPr>
        <w:jc w:val="center"/>
      </w:pPr>
      <w:r>
        <w:rPr>
          <w:b/>
          <w:sz w:val="30"/>
        </w:rPr>
        <w:t xml:space="preserve">Mentoring Unit, Center for Student Affairs</w:t>
      </w:r>
    </w:p>
    <w:p>
      <w:pPr>
        <w:jc w:val="center"/>
      </w:pPr>
      <w:r>
        <w:rPr>
          <w:sz w:val="26"/>
        </w:rPr>
        <w:t xml:space="preserve">University of Asia and the Pacific</w:t>
      </w:r>
    </w:p>
    <w:p>
      <w:pPr>
        <w:jc w:val="center"/>
      </w:pPr>
      <w:r>
        <w:rPr>
          <w:sz w:val="22"/>
        </w:rPr>
        <w:t xml:space="preserve"> </w:t>
      </w:r>
    </w:p>
    <w:p>
      <w:pPr>
        <w:jc w:val="center"/>
      </w:pPr>
      <w:r>
        <w:rPr>
          <w:sz w:val="22"/>
        </w:rPr>
        <w:t xml:space="preserve"> </w:t>
      </w:r>
    </w:p>
    <w:p>
      <w:pPr>
        <w:jc w:val="center"/>
      </w:pPr>
      <w:r>
        <w:rPr>
          <w:sz w:val="22"/>
        </w:rPr>
        <w:t xml:space="preserve">Prepared by: Student A (Organizational Architect) and Student B (Framework and Metamodel Architect)</w:t>
      </w:r>
    </w:p>
    <w:p>
      <w:pPr>
        <w:jc w:val="center"/>
      </w:pPr>
      <w:r>
        <w:rPr>
          <w:sz w:val="22"/>
        </w:rPr>
        <w:t xml:space="preserve">IT Elective: Solution Architecture</w:t>
      </w:r>
    </w:p>
    <w:p>
      <w:pPr>
        <w:jc w:val="center"/>
      </w:pPr>
      <w:r>
        <w:rPr>
          <w:sz w:val="22"/>
        </w:rPr>
        <w:t xml:space="preserve">September 2026 (Revised)</w:t>
      </w:r>
    </w:p>
    <w:p>
      <w:r>
        <w:br w:type="page"/>
      </w:r>
    </w:p>
    <w:p>
      <w:pPr>
        <w:pStyle w:val="Heading1"/>
      </w:pPr>
      <w:r>
        <w:t xml:space="preserve">Table of Contents</w:t>
      </w:r>
    </w:p>
    <w:p>
      <w:pPr>
        <w:pStyle w:val="Normal"/>
      </w:pPr>
      <w:r>
        <w:t xml:space="preserve">(To generate a live, page-numbered table of contents, place the cursor here, then use References &gt; Table of Contents in Word. All section headings below use Word's built-in Heading 1/2/3 styles, so Word will pick them up automatically.)</w:t>
      </w:r>
    </w:p>
    <w:p>
      <w:r>
        <w:br w:type="page"/>
      </w:r>
    </w:p>
    <w:p>
      <w:pPr>
        <w:pStyle w:val="Heading1"/>
      </w:pPr>
      <w:r>
        <w:t xml:space="preserve">Executive Summary</w:t>
      </w:r>
    </w:p>
    <w:p>
      <w:pPr>
        <w:pStyle w:val="Normal"/>
      </w:pPr>
      <w:r>
        <w:t xml:space="preserve">The Mentoring Unit of the Center for Student Affairs administers the undergraduate mentoring program of the University of Asia and the Pacific. Staffed by two operations coordinators, it maintains the consolidated register of student-to-mentor pairings, operates the session logging and confirmation workflow, and reports compliance through the Executive Director to the Management Committee. It works across every undergraduate school and depends on the schools for the execution of pairing, the Office of the Registrar for enrollment data, Human Resources and Financial Management and Resources for the contracting and remuneration of external mentors, and the Information Technology Office for the provisioning of platform services.</w:t>
      </w:r>
    </w:p>
    <w:p>
      <w:pPr>
        <w:pStyle w:val="Normal"/>
      </w:pPr>
      <w:r>
        <w:t xml:space="preserve">A change in institutional policy effective academic year 2026 to 2027 makes mentoring mandatory at three sessions per semester, transfers responsibility for logging sessions from the mentor to the student, and attaches a consequence for enrollment eligibility to sustained non-completion. Compliance data that was formerly advisory now bears on academic standing, while the unit records it across a manually maintained pairing register and a separate form-driven session log between which no interface exists.</w:t>
      </w:r>
    </w:p>
    <w:p>
      <w:pPr>
        <w:pStyle w:val="Normal"/>
      </w:pPr>
      <w:r>
        <w:t xml:space="preserve">This document constitutes the Tailored Architecture Framework required by the Preliminary Phase of the TOGAF Architecture Development Method, and is preparatory rather than analytical. It establishes the vocabulary in which the architecture of the enterprise will subsequently be described, retaining twenty-nine of the thirty-six entity types defined in the TOGAF Core Enterprise Metamodel and recording the reasoning governing each removal. It further commits the architecture team to eleven catalogs, matrices, and diagrams across Phases A through E, each traceable both to a retained entity type and to a concern raised by the enterprise during requirements interview. No baseline or target architecture is presented, both being the product of later phases.</w:t>
      </w:r>
    </w:p>
    <w:p>
      <w:r>
        <w:br w:type="page"/>
      </w:r>
    </w:p>
    <w:p>
      <w:pPr>
        <w:pStyle w:val="Heading1"/>
      </w:pPr>
      <w:r>
        <w:t xml:space="preserve">1. Scope and Boundaries</w:t>
      </w:r>
    </w:p>
    <w:p>
      <w:pPr>
        <w:pStyle w:val="Heading2"/>
      </w:pPr>
      <w:r>
        <w:t xml:space="preserve">1.1 The Enterprise</w:t>
      </w:r>
    </w:p>
    <w:p>
      <w:pPr>
        <w:pStyle w:val="Normal"/>
      </w:pPr>
      <w:r>
        <w:t xml:space="preserve">This document concerns all operations and stakeholders of UA&amp;P's CSA - Mentoring Unit. This enterprise was created to manage the university's mentoring program. This is in response to UA&amp;P's initiative to assist in the holistic development of its students. It should be noted that UA&amp;P is one of the few universities to implement such a program and, therefore, may share similar mechanisms with other universities.</w:t>
      </w:r>
    </w:p>
    <w:p>
      <w:pPr>
        <w:pStyle w:val="Heading2"/>
      </w:pPr>
      <w:r>
        <w:t xml:space="preserve">1.2 Business Catalyst</w:t>
      </w:r>
    </w:p>
    <w:p>
      <w:pPr>
        <w:pStyle w:val="Normal"/>
      </w:pPr>
      <w:r>
        <w:t xml:space="preserve">A new policy has been implemented for A.Y. 2026-27 which requires students to have at least three mentoring sessions per semester. The same policy also transfers the responsibility for logging each session from the mentor to the student, reversing the arrangement that applied in prior years. Should the student fail to meet the required session quota, they will be on a "to follow" status, and a mentoring session will be automatically scheduled for them by the end of the semester to meet it. If the student fails to meet the quota for two consecutive semesters, this will impact their eligibility to enrol for the following semester. This is the first time such a policy was implemented -- this is an attempt to ensure students participate in the mentoring program, as previous years have shown that not every student participated in it.</w:t>
      </w:r>
    </w:p>
    <w:p>
      <w:pPr>
        <w:pStyle w:val="Heading2"/>
      </w:pPr>
      <w:r>
        <w:t xml:space="preserve">1.3 Scope</w:t>
      </w:r>
    </w:p>
    <w:p>
      <w:pPr>
        <w:pStyle w:val="Heading3"/>
      </w:pPr>
      <w:r>
        <w:t xml:space="preserve">1.3.1 Mentoring Session</w:t>
      </w:r>
    </w:p>
    <w:p>
      <w:pPr>
        <w:pStyle w:val="Normal"/>
      </w:pPr>
      <w:r>
        <w:t xml:space="preserve">The unit is responsible for the facilitation and encouragement of mentoring sessions. This is the prime business operation of the unit, in line with the mentoring program's goals and objectives to facilitate students' holistic development.</w:t>
      </w:r>
    </w:p>
    <w:p>
      <w:pPr>
        <w:pStyle w:val="Heading3"/>
      </w:pPr>
      <w:r>
        <w:t xml:space="preserve">1.3.2 Mentoring Session Logging</w:t>
      </w:r>
    </w:p>
    <w:p>
      <w:pPr>
        <w:pStyle w:val="Normal"/>
      </w:pPr>
      <w:r>
        <w:t xml:space="preserve">Mentoring sessions are logged for the unit to monitor if the program is functioning as intended. In previous years, sessions were not mandatory but encouraged. But with the new recent policy implementation, these sessions are now required for all students, leading to the unit now monitoring the accuracy of the logged sessions.</w:t>
      </w:r>
    </w:p>
    <w:p>
      <w:pPr>
        <w:pStyle w:val="Heading3"/>
      </w:pPr>
      <w:r>
        <w:t xml:space="preserve">1.3.3 Approval of Mentors</w:t>
      </w:r>
    </w:p>
    <w:p>
      <w:pPr>
        <w:pStyle w:val="Normal"/>
      </w:pPr>
      <w:r>
        <w:t xml:space="preserve">The Mentoring unit is responsible for approving the list of mentors from the list of professors provided by each of the university's schools. They assess their eligibility and acceptance to participate in the program. They then forward the approved list to the respective schools. This approval pathway covers faculty and staff mentors sourced through the schools. External mentors -- professionals affiliated with the university but outside any school's faculty roster -- are instead contracted through Human Resources, with allowances administered by Financial Management and Resources; the eligibility criteria the unit applies to external mentors, if any beyond HR's contracting requirements, were not covered in the September 2026 requirements interview and are recorded here as an open item for validation in a later phase.</w:t>
      </w:r>
    </w:p>
    <w:p>
      <w:pPr>
        <w:pStyle w:val="Heading2"/>
      </w:pPr>
      <w:r>
        <w:t xml:space="preserve">1.4 Out of Scope</w:t>
      </w:r>
    </w:p>
    <w:p>
      <w:pPr>
        <w:pStyle w:val="Heading3"/>
      </w:pPr>
      <w:r>
        <w:t xml:space="preserve">1.4.1 Mentor-Mentee Pairing Mechanism</w:t>
      </w:r>
    </w:p>
    <w:p>
      <w:pPr>
        <w:pStyle w:val="Normal"/>
      </w:pPr>
      <w:r>
        <w:t xml:space="preserve">The unit is not responsible for pairing students with a mentor. This is strictly handled by the students' respective schools, and the exact pairing process varies between them. The unit only receives the final pairings at the start of the semester.</w:t>
      </w:r>
    </w:p>
    <w:p>
      <w:pPr>
        <w:pStyle w:val="Heading3"/>
      </w:pPr>
      <w:r>
        <w:t xml:space="preserve">1.4.2 Policy Approval Process</w:t>
      </w:r>
    </w:p>
    <w:p>
      <w:pPr>
        <w:pStyle w:val="Normal"/>
      </w:pPr>
      <w:r>
        <w:t xml:space="preserve">The unit can only implement and institutionalize the policies. The approval authority rests with the CSA Executive Director and is finalized by ManCom. These policies must be compliant with the University's own policies and Philippine law.</w:t>
      </w:r>
    </w:p>
    <w:p>
      <w:pPr>
        <w:pStyle w:val="Heading3"/>
      </w:pPr>
      <w:r>
        <w:t xml:space="preserve">1.4.3 Mentor Change Approval</w:t>
      </w:r>
    </w:p>
    <w:p>
      <w:pPr>
        <w:pStyle w:val="Normal"/>
      </w:pPr>
      <w:r>
        <w:t xml:space="preserve">The unit is responsible for assessing the validity of the mentor change requests from students. However, they are not responsible for approving the change request. This is handled first by the student's current mentor, followed by the requested mentor, and finally the student's respective school. The school has the final decision on the mentor change and cannot be overturned. The unit only relays the request to the prospective proponents.</w:t>
      </w:r>
    </w:p>
    <w:p>
      <w:pPr>
        <w:pStyle w:val="Heading2"/>
      </w:pPr>
      <w:r>
        <w:t xml:space="preserve">1.5 Boundaries</w:t>
      </w:r>
    </w:p>
    <w:p>
      <w:pPr>
        <w:pStyle w:val="Heading3"/>
      </w:pPr>
      <w:r>
        <w:t xml:space="preserve">1.5.1 Organizational</w:t>
      </w:r>
    </w:p>
    <w:p>
      <w:pPr>
        <w:pStyle w:val="Normal"/>
      </w:pPr>
      <w:r>
        <w:t xml:space="preserve">This interaction strictly focuses on the CSA Mentoring unit's two employees and their direct interfaces. These direct interfaces are each of the school's Mentoring Coordinators, the CSA Executive Director, ManCom, IT Office, Finance Management and Reporting (FMR), HR, Registrar, and -- as the parties who submit session logs, receive confirmation requests, and initiate mentor-change requests -- the mentors and mentees themselves. Although the unit was once combined with the Office of Guidance and Counseling to form the Office of Guidance and Counseling Management (OGCM), they are now separate entities, where Mentoring focuses on the holistic development of students, while the other focuses on mental health. Furthermore, the processes of the other units and departments within the University are beyond the unit's organizational boundaries.</w:t>
      </w:r>
    </w:p>
    <w:p>
      <w:pPr>
        <w:pStyle w:val="Heading3"/>
      </w:pPr>
      <w:r>
        <w:t xml:space="preserve">1.5.2 Geographic</w:t>
      </w:r>
    </w:p>
    <w:p>
      <w:pPr>
        <w:pStyle w:val="Normal"/>
      </w:pPr>
      <w:r>
        <w:t xml:space="preserve">The engagement is limited to only the Pasig campus of UA&amp;P. All activities within this location and not outside fall under this boundary, due to there only being one campus.</w:t>
      </w:r>
    </w:p>
    <w:p>
      <w:pPr>
        <w:pStyle w:val="Heading3"/>
      </w:pPr>
      <w:r>
        <w:t xml:space="preserve">1.5.3 Functional</w:t>
      </w:r>
    </w:p>
    <w:p>
      <w:pPr>
        <w:pStyle w:val="Normal"/>
      </w:pPr>
      <w:r>
        <w:t xml:space="preserve">The engagement focuses on the facilitation of mentoring sessions, logging of sessions, approval of mentors, and the unit's own participation in pairing and mentor-change workflows -- specifically its receipt of finalized pairings and its assessment and relay of mentor-change requests. What lies outside this functional boundary is the decision authority these processes terminate in: the schools' internal matching criteria and pairing mechanism, the CSA Executive Director's and Management Committee's policy approval process, and the school's final ruling on a mentor change. The unit's documented steps within pairing and mentor-change handling are therefore in scope as business processes to be modeled in Section 4, even though the mechanisms and final decisions they hand off to are not.</w:t>
      </w:r>
    </w:p>
    <w:p>
      <w:pPr>
        <w:pStyle w:val="Heading3"/>
      </w:pPr>
      <w:r>
        <w:t xml:space="preserve">1.5.4 Operational</w:t>
      </w:r>
    </w:p>
    <w:p>
      <w:pPr>
        <w:pStyle w:val="Normal"/>
      </w:pPr>
      <w:r>
        <w:t xml:space="preserve">The unit cannot modify the exact mentor-mentee pairing process of each school. Additionally, each process varies between them and is not standardized. Furthermore, the new three-session requirement policy is a given operation that is necessary for students and cannot be modified. The unit can, however, modify the tools they use for monitoring sessions and managing the mentor-mentee database.</w:t>
      </w:r>
    </w:p>
    <w:p>
      <w:pPr>
        <w:pStyle w:val="Heading3"/>
      </w:pPr>
      <w:r>
        <w:t xml:space="preserve">1.5.5 Time</w:t>
      </w:r>
    </w:p>
    <w:p>
      <w:pPr>
        <w:pStyle w:val="Normal"/>
      </w:pPr>
      <w:r>
        <w:t xml:space="preserve">The engagement can focus on the three-session requirement policy as it is newly implemented for A.Y. 2026-27. The unit has yet to conclude whether the policy is effective in encouraging students to participate in the mentoring program. Any old policies or processes about the monitoring, logging, and attendance of the mentoring sessions before this academic year will not be addressed but may be considered for potential research.</w:t>
      </w:r>
    </w:p>
    <w:p>
      <w:r>
        <w:br w:type="page"/>
      </w:r>
    </w:p>
    <w:p>
      <w:pPr>
        <w:pStyle w:val="Heading2"/>
      </w:pPr>
      <w:r>
        <w:t xml:space="preserve">1.6 Stakeholder Map</w:t>
      </w:r>
    </w:p>
    <w:p>
      <w:pPr>
        <w:pStyle w:val="Normal"/>
      </w:pPr>
      <w:r>
        <w:t xml:space="preserve">This section maps out the relationship of each of the stakeholders within and interacting with the Mentoring unit. The scale of this population -- approximately 1,500 to 1,600 undergraduate students and roughly 180 faculty mentors, monitored by two operations coordinators -- is what makes session-monitoring burden and data-consistency the unit's dominant concerns in the classification below.</w:t>
      </w:r>
    </w:p>
    <w:p>
      <w:pPr>
        <w:pStyle w:val="Heading3"/>
      </w:pPr>
      <w:r>
        <w:t xml:space="preserve">1.6.1 Interest Classification</w:t>
      </w:r>
    </w:p>
    <w:tbl>
      <w:tblPr>
        <w:tblStyle w:val="TableGrid"/>
        <w:tblW w:w="5760"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40"/>
        <w:gridCol w:w="2160"/>
        <w:gridCol w:w="2160"/>
      </w:tblGrid>
      <w:tr>
        <w:tc>
          <w:tcPr>
            <w:vAlign w:val="center"/>
          </w:tcPr>
          <w:p>
            <w:pPr>
              <w:jc w:val="center"/>
            </w:pPr>
            <w:r>
              <w:rPr/>
              <w:t xml:space="preserve"/>
            </w:r>
          </w:p>
        </w:tc>
        <w:tc>
          <w:tcPr>
            <w:vAlign w:val="center"/>
          </w:tcPr>
          <w:p>
            <w:pPr>
              <w:jc w:val="center"/>
            </w:pPr>
            <w:r>
              <w:rPr>
                <w:b/>
              </w:rPr>
              <w:t xml:space="preserve">Low Interest</w:t>
            </w:r>
          </w:p>
        </w:tc>
        <w:tc>
          <w:tcPr>
            <w:vAlign w:val="center"/>
          </w:tcPr>
          <w:p>
            <w:pPr>
              <w:jc w:val="center"/>
            </w:pPr>
            <w:r>
              <w:rPr>
                <w:b/>
              </w:rPr>
              <w:t xml:space="preserve">High Interest</w:t>
            </w:r>
          </w:p>
        </w:tc>
      </w:tr>
      <w:tr>
        <w:tc>
          <w:tcPr>
            <w:vAlign w:val="center"/>
          </w:tcPr>
          <w:p>
            <w:pPr>
              <w:jc w:val="center"/>
            </w:pPr>
            <w:r>
              <w:rPr>
                <w:b/>
              </w:rPr>
              <w:t xml:space="preserve">High Power</w:t>
            </w:r>
          </w:p>
        </w:tc>
        <w:tc>
          <w:tcPr>
            <w:shd w:val="clear" w:color="auto" w:fill="99005C"/>
            <w:vAlign w:val="center"/>
          </w:tcPr>
          <w:p>
            <w:pPr>
              <w:jc w:val="center"/>
            </w:pPr>
            <w:r>
              <w:rPr>
                <w:b/>
                <w:color w:val="FFFFFF"/>
              </w:rPr>
              <w:t xml:space="preserve">Keep Satisfied</w:t>
            </w:r>
          </w:p>
        </w:tc>
        <w:tc>
          <w:tcPr>
            <w:shd w:val="clear" w:color="auto" w:fill="E982BE"/>
            <w:vAlign w:val="center"/>
          </w:tcPr>
          <w:p>
            <w:pPr>
              <w:jc w:val="center"/>
            </w:pPr>
            <w:r>
              <w:rPr>
                <w:b/>
                <w:color w:val="FFFFFF"/>
              </w:rPr>
              <w:t xml:space="preserve">Key Players</w:t>
            </w:r>
          </w:p>
        </w:tc>
      </w:tr>
      <w:tr>
        <w:tc>
          <w:tcPr>
            <w:vAlign w:val="center"/>
          </w:tcPr>
          <w:p>
            <w:pPr>
              <w:jc w:val="center"/>
            </w:pPr>
            <w:r>
              <w:rPr>
                <w:b/>
              </w:rPr>
              <w:t xml:space="preserve">Low Power</w:t>
            </w:r>
          </w:p>
        </w:tc>
        <w:tc>
          <w:tcPr>
            <w:shd w:val="clear" w:color="auto" w:fill="E982BE"/>
            <w:vAlign w:val="center"/>
          </w:tcPr>
          <w:p>
            <w:pPr>
              <w:jc w:val="center"/>
            </w:pPr>
            <w:r>
              <w:rPr>
                <w:b/>
                <w:color w:val="FFFFFF"/>
              </w:rPr>
              <w:t xml:space="preserve">Minimal Effort</w:t>
            </w:r>
          </w:p>
        </w:tc>
        <w:tc>
          <w:tcPr>
            <w:shd w:val="clear" w:color="auto" w:fill="99005C"/>
            <w:vAlign w:val="center"/>
          </w:tcPr>
          <w:p>
            <w:pPr>
              <w:jc w:val="center"/>
            </w:pPr>
            <w:r>
              <w:rPr>
                <w:b/>
                <w:color w:val="FFFFFF"/>
              </w:rPr>
              <w:t xml:space="preserve">Keep Informed</w:t>
            </w:r>
          </w:p>
        </w:tc>
      </w:tr>
    </w:tbl>
    <w:p/>
    <w:p>
      <w:pPr>
        <w:pStyle w:val="Caption"/>
      </w:pPr>
      <w:r>
        <w:rPr>
          <w:b/>
        </w:rPr>
        <w:t>Figure 1. </w:t>
      </w:r>
      <w:r>
        <w:t xml:space="preserve">Stakeholder Power and Interest Grid for the Mentoring Unit engagement.</w:t>
      </w:r>
    </w:p>
    <w:p>
      <w:pPr>
        <w:pStyle w:val="Heading3"/>
      </w:pPr>
      <w:r>
        <w:t xml:space="preserve">1.6.2 Stakeholder Power and Interest Classification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color="auto" w:fill="1F4E79"/>
            <w:vAlign w:val="center"/>
          </w:tcPr>
          <w:p>
            <w:r>
              <w:rPr>
                <w:b/>
                <w:color w:val="FFFFFF"/>
                <w:sz w:val="19"/>
              </w:rPr>
              <w:t xml:space="preserve">Stakeholder</w:t>
            </w:r>
          </w:p>
        </w:tc>
        <w:tc>
          <w:tcPr>
            <w:tcW w:w="2340" w:type="dxa"/>
            <w:shd w:val="clear" w:color="auto" w:fill="1F4E79"/>
            <w:vAlign w:val="center"/>
          </w:tcPr>
          <w:p>
            <w:r>
              <w:rPr>
                <w:b/>
                <w:color w:val="FFFFFF"/>
                <w:sz w:val="19"/>
              </w:rPr>
              <w:t xml:space="preserve">Power</w:t>
            </w:r>
          </w:p>
        </w:tc>
        <w:tc>
          <w:tcPr>
            <w:tcW w:w="2340" w:type="dxa"/>
            <w:shd w:val="clear" w:color="auto" w:fill="1F4E79"/>
            <w:vAlign w:val="center"/>
          </w:tcPr>
          <w:p>
            <w:r>
              <w:rPr>
                <w:b/>
                <w:color w:val="FFFFFF"/>
                <w:sz w:val="19"/>
              </w:rPr>
              <w:t xml:space="preserve">Interest</w:t>
            </w:r>
          </w:p>
        </w:tc>
        <w:tc>
          <w:tcPr>
            <w:tcW w:w="2340" w:type="dxa"/>
            <w:shd w:val="clear" w:color="auto" w:fill="1F4E79"/>
            <w:vAlign w:val="center"/>
          </w:tcPr>
          <w:p>
            <w:r>
              <w:rPr>
                <w:b/>
                <w:color w:val="FFFFFF"/>
                <w:sz w:val="19"/>
              </w:rPr>
              <w:t xml:space="preserve">Quadrant</w:t>
            </w:r>
          </w:p>
        </w:tc>
      </w:tr>
      <w:tr>
        <w:tc>
          <w:tcPr>
            <w:tcW w:w="2340" w:type="dxa"/>
            <w:vAlign w:val="center"/>
          </w:tcPr>
          <w:p>
            <w:r>
              <w:rPr>
                <w:sz w:val="19"/>
              </w:rPr>
              <w:t xml:space="preserve">Mentoring Unit</w:t>
            </w:r>
          </w:p>
        </w:tc>
        <w:tc>
          <w:tcPr>
            <w:tcW w:w="2340" w:type="dxa"/>
            <w:vAlign w:val="center"/>
          </w:tcPr>
          <w:p>
            <w:r>
              <w:rPr>
                <w:sz w:val="19"/>
              </w:rPr>
              <w:t xml:space="preserve">High -- owns and can adopt policy changes and tools</w:t>
            </w:r>
          </w:p>
        </w:tc>
        <w:tc>
          <w:tcPr>
            <w:tcW w:w="2340" w:type="dxa"/>
            <w:vAlign w:val="center"/>
          </w:tcPr>
          <w:p>
            <w:r>
              <w:rPr>
                <w:sz w:val="19"/>
              </w:rPr>
              <w:t xml:space="preserve">High -- this is their own workflow</w:t>
            </w:r>
          </w:p>
        </w:tc>
        <w:tc>
          <w:tcPr>
            <w:tcW w:w="2340" w:type="dxa"/>
            <w:vAlign w:val="center"/>
          </w:tcPr>
          <w:p>
            <w:r>
              <w:rPr>
                <w:sz w:val="19"/>
              </w:rPr>
              <w:t xml:space="preserve">Key Player</w:t>
            </w:r>
          </w:p>
        </w:tc>
      </w:tr>
      <w:tr>
        <w:tc>
          <w:tcPr>
            <w:tcW w:w="2340" w:type="dxa"/>
            <w:vAlign w:val="center"/>
          </w:tcPr>
          <w:p>
            <w:r>
              <w:rPr>
                <w:sz w:val="19"/>
              </w:rPr>
              <w:t xml:space="preserve">IT Office</w:t>
            </w:r>
          </w:p>
        </w:tc>
        <w:tc>
          <w:tcPr>
            <w:tcW w:w="2340" w:type="dxa"/>
            <w:vAlign w:val="center"/>
          </w:tcPr>
          <w:p>
            <w:r>
              <w:rPr>
                <w:sz w:val="19"/>
              </w:rPr>
              <w:t xml:space="preserve">High -- built and controls the technical pipeline</w:t>
            </w:r>
          </w:p>
        </w:tc>
        <w:tc>
          <w:tcPr>
            <w:tcW w:w="2340" w:type="dxa"/>
            <w:vAlign w:val="center"/>
          </w:tcPr>
          <w:p>
            <w:r>
              <w:rPr>
                <w:sz w:val="19"/>
              </w:rPr>
              <w:t xml:space="preserve">High -- any changes need to go through them</w:t>
            </w:r>
          </w:p>
        </w:tc>
        <w:tc>
          <w:tcPr>
            <w:tcW w:w="2340" w:type="dxa"/>
            <w:vAlign w:val="center"/>
          </w:tcPr>
          <w:p>
            <w:r>
              <w:rPr>
                <w:sz w:val="19"/>
              </w:rPr>
              <w:t xml:space="preserve">Key Player</w:t>
            </w:r>
          </w:p>
        </w:tc>
      </w:tr>
      <w:tr>
        <w:tc>
          <w:tcPr>
            <w:tcW w:w="2340" w:type="dxa"/>
            <w:vAlign w:val="center"/>
          </w:tcPr>
          <w:p>
            <w:r>
              <w:rPr>
                <w:sz w:val="19"/>
              </w:rPr>
              <w:t xml:space="preserve">CSA Executive Director</w:t>
            </w:r>
          </w:p>
        </w:tc>
        <w:tc>
          <w:tcPr>
            <w:tcW w:w="2340" w:type="dxa"/>
            <w:vAlign w:val="center"/>
          </w:tcPr>
          <w:p>
            <w:r>
              <w:rPr>
                <w:sz w:val="19"/>
              </w:rPr>
              <w:t xml:space="preserve">High -- approves all CSA-level changes</w:t>
            </w:r>
          </w:p>
        </w:tc>
        <w:tc>
          <w:tcPr>
            <w:tcW w:w="2340" w:type="dxa"/>
            <w:vAlign w:val="center"/>
          </w:tcPr>
          <w:p>
            <w:r>
              <w:rPr>
                <w:sz w:val="19"/>
              </w:rPr>
              <w:t xml:space="preserve">Low -- one level lower from daily operations</w:t>
            </w:r>
          </w:p>
        </w:tc>
        <w:tc>
          <w:tcPr>
            <w:tcW w:w="2340" w:type="dxa"/>
            <w:vAlign w:val="center"/>
          </w:tcPr>
          <w:p>
            <w:r>
              <w:rPr>
                <w:sz w:val="19"/>
              </w:rPr>
              <w:t xml:space="preserve">Keep Satisfied</w:t>
            </w:r>
          </w:p>
        </w:tc>
      </w:tr>
      <w:tr>
        <w:tc>
          <w:tcPr>
            <w:tcW w:w="2340" w:type="dxa"/>
            <w:vAlign w:val="center"/>
          </w:tcPr>
          <w:p>
            <w:r>
              <w:rPr>
                <w:sz w:val="19"/>
              </w:rPr>
              <w:t xml:space="preserve">ManCom</w:t>
            </w:r>
          </w:p>
        </w:tc>
        <w:tc>
          <w:tcPr>
            <w:tcW w:w="2340" w:type="dxa"/>
            <w:vAlign w:val="center"/>
          </w:tcPr>
          <w:p>
            <w:r>
              <w:rPr>
                <w:sz w:val="19"/>
              </w:rPr>
              <w:t xml:space="preserve">High -- final say on institutional changes</w:t>
            </w:r>
          </w:p>
        </w:tc>
        <w:tc>
          <w:tcPr>
            <w:tcW w:w="2340" w:type="dxa"/>
            <w:vAlign w:val="center"/>
          </w:tcPr>
          <w:p>
            <w:r>
              <w:rPr>
                <w:sz w:val="19"/>
              </w:rPr>
              <w:t xml:space="preserve">Low -- only engages in major changes</w:t>
            </w:r>
          </w:p>
        </w:tc>
        <w:tc>
          <w:tcPr>
            <w:tcW w:w="2340" w:type="dxa"/>
            <w:vAlign w:val="center"/>
          </w:tcPr>
          <w:p>
            <w:r>
              <w:rPr>
                <w:sz w:val="19"/>
              </w:rPr>
              <w:t xml:space="preserve">Keep Satisfied</w:t>
            </w:r>
          </w:p>
        </w:tc>
      </w:tr>
      <w:tr>
        <w:tc>
          <w:tcPr>
            <w:tcW w:w="2340" w:type="dxa"/>
            <w:vAlign w:val="center"/>
          </w:tcPr>
          <w:p>
            <w:r>
              <w:rPr>
                <w:sz w:val="19"/>
              </w:rPr>
              <w:t xml:space="preserve">School Mentoring Coordinators</w:t>
            </w:r>
          </w:p>
        </w:tc>
        <w:tc>
          <w:tcPr>
            <w:tcW w:w="2340" w:type="dxa"/>
            <w:vAlign w:val="center"/>
          </w:tcPr>
          <w:p>
            <w:r>
              <w:rPr>
                <w:sz w:val="19"/>
              </w:rPr>
              <w:t xml:space="preserve">Low -- has no authority over the unit's tools</w:t>
            </w:r>
          </w:p>
        </w:tc>
        <w:tc>
          <w:tcPr>
            <w:tcW w:w="2340" w:type="dxa"/>
            <w:vAlign w:val="center"/>
          </w:tcPr>
          <w:p>
            <w:r>
              <w:rPr>
                <w:sz w:val="19"/>
              </w:rPr>
              <w:t xml:space="preserve">High -- directly affected by any changes (confirmations and workload)</w:t>
            </w:r>
          </w:p>
        </w:tc>
        <w:tc>
          <w:tcPr>
            <w:tcW w:w="2340" w:type="dxa"/>
            <w:vAlign w:val="center"/>
          </w:tcPr>
          <w:p>
            <w:r>
              <w:rPr>
                <w:sz w:val="19"/>
              </w:rPr>
              <w:t xml:space="preserve">Keep Informed</w:t>
            </w:r>
          </w:p>
        </w:tc>
      </w:tr>
      <w:tr>
        <w:tc>
          <w:tcPr>
            <w:tcW w:w="2340" w:type="dxa"/>
            <w:vAlign w:val="center"/>
          </w:tcPr>
          <w:p>
            <w:r>
              <w:rPr>
                <w:sz w:val="19"/>
              </w:rPr>
              <w:t xml:space="preserve">Mentors (faculty + external)</w:t>
            </w:r>
          </w:p>
        </w:tc>
        <w:tc>
          <w:tcPr>
            <w:tcW w:w="2340" w:type="dxa"/>
            <w:vAlign w:val="center"/>
          </w:tcPr>
          <w:p>
            <w:r>
              <w:rPr>
                <w:sz w:val="19"/>
              </w:rPr>
              <w:t xml:space="preserve">Low -- no formal say in process design</w:t>
            </w:r>
          </w:p>
        </w:tc>
        <w:tc>
          <w:tcPr>
            <w:tcW w:w="2340" w:type="dxa"/>
            <w:vAlign w:val="center"/>
          </w:tcPr>
          <w:p>
            <w:r>
              <w:rPr>
                <w:sz w:val="19"/>
              </w:rPr>
              <w:t xml:space="preserve">High -- directly affected by any changes (confirmations and workload)</w:t>
            </w:r>
          </w:p>
        </w:tc>
        <w:tc>
          <w:tcPr>
            <w:tcW w:w="2340" w:type="dxa"/>
            <w:vAlign w:val="center"/>
          </w:tcPr>
          <w:p>
            <w:r>
              <w:rPr>
                <w:sz w:val="19"/>
              </w:rPr>
              <w:t xml:space="preserve">Keep Informed</w:t>
            </w:r>
          </w:p>
        </w:tc>
      </w:tr>
      <w:tr>
        <w:tc>
          <w:tcPr>
            <w:tcW w:w="2340" w:type="dxa"/>
            <w:vAlign w:val="center"/>
          </w:tcPr>
          <w:p>
            <w:r>
              <w:rPr>
                <w:sz w:val="19"/>
              </w:rPr>
              <w:t xml:space="preserve">Mentees (students)</w:t>
            </w:r>
          </w:p>
        </w:tc>
        <w:tc>
          <w:tcPr>
            <w:tcW w:w="2340" w:type="dxa"/>
            <w:vAlign w:val="center"/>
          </w:tcPr>
          <w:p>
            <w:r>
              <w:rPr>
                <w:sz w:val="19"/>
              </w:rPr>
              <w:t xml:space="preserve">Low -- no formal say in process design</w:t>
            </w:r>
          </w:p>
        </w:tc>
        <w:tc>
          <w:tcPr>
            <w:tcW w:w="2340" w:type="dxa"/>
            <w:vAlign w:val="center"/>
          </w:tcPr>
          <w:p>
            <w:r>
              <w:rPr>
                <w:sz w:val="19"/>
              </w:rPr>
              <w:t xml:space="preserve">High -- directly subjected to the policy</w:t>
            </w:r>
          </w:p>
        </w:tc>
        <w:tc>
          <w:tcPr>
            <w:tcW w:w="2340" w:type="dxa"/>
            <w:vAlign w:val="center"/>
          </w:tcPr>
          <w:p>
            <w:r>
              <w:rPr>
                <w:sz w:val="19"/>
              </w:rPr>
              <w:t xml:space="preserve">Keep Informed</w:t>
            </w:r>
          </w:p>
        </w:tc>
      </w:tr>
      <w:tr>
        <w:tc>
          <w:tcPr>
            <w:tcW w:w="2340" w:type="dxa"/>
            <w:vAlign w:val="center"/>
          </w:tcPr>
          <w:p>
            <w:r>
              <w:rPr>
                <w:sz w:val="19"/>
              </w:rPr>
              <w:t xml:space="preserve">HR</w:t>
            </w:r>
          </w:p>
        </w:tc>
        <w:tc>
          <w:tcPr>
            <w:tcW w:w="2340" w:type="dxa"/>
            <w:vAlign w:val="center"/>
          </w:tcPr>
          <w:p>
            <w:r>
              <w:rPr>
                <w:sz w:val="19"/>
              </w:rPr>
              <w:t xml:space="preserve">Low -- no formal say in process design</w:t>
            </w:r>
          </w:p>
        </w:tc>
        <w:tc>
          <w:tcPr>
            <w:tcW w:w="2340" w:type="dxa"/>
            <w:vAlign w:val="center"/>
          </w:tcPr>
          <w:p>
            <w:r>
              <w:rPr>
                <w:sz w:val="19"/>
              </w:rPr>
              <w:t xml:space="preserve">Low -- handles only the external mentor contracts</w:t>
            </w:r>
          </w:p>
        </w:tc>
        <w:tc>
          <w:tcPr>
            <w:tcW w:w="2340" w:type="dxa"/>
            <w:vAlign w:val="center"/>
          </w:tcPr>
          <w:p>
            <w:r>
              <w:rPr>
                <w:sz w:val="19"/>
              </w:rPr>
              <w:t xml:space="preserve">Minimal Effort</w:t>
            </w:r>
          </w:p>
        </w:tc>
      </w:tr>
      <w:tr>
        <w:tc>
          <w:tcPr>
            <w:tcW w:w="2340" w:type="dxa"/>
            <w:vAlign w:val="center"/>
          </w:tcPr>
          <w:p>
            <w:r>
              <w:rPr>
                <w:sz w:val="19"/>
              </w:rPr>
              <w:t xml:space="preserve">FMR</w:t>
            </w:r>
          </w:p>
        </w:tc>
        <w:tc>
          <w:tcPr>
            <w:tcW w:w="2340" w:type="dxa"/>
            <w:vAlign w:val="center"/>
          </w:tcPr>
          <w:p>
            <w:r>
              <w:rPr>
                <w:sz w:val="19"/>
              </w:rPr>
              <w:t xml:space="preserve">Low -- no formal say in process design</w:t>
            </w:r>
          </w:p>
        </w:tc>
        <w:tc>
          <w:tcPr>
            <w:tcW w:w="2340" w:type="dxa"/>
            <w:vAlign w:val="center"/>
          </w:tcPr>
          <w:p>
            <w:r>
              <w:rPr>
                <w:sz w:val="19"/>
              </w:rPr>
              <w:t xml:space="preserve">Low -- handles mentor allowances only</w:t>
            </w:r>
          </w:p>
        </w:tc>
        <w:tc>
          <w:tcPr>
            <w:tcW w:w="2340" w:type="dxa"/>
            <w:vAlign w:val="center"/>
          </w:tcPr>
          <w:p>
            <w:r>
              <w:rPr>
                <w:sz w:val="19"/>
              </w:rPr>
              <w:t xml:space="preserve">Minimal Effort</w:t>
            </w:r>
          </w:p>
        </w:tc>
      </w:tr>
      <w:tr>
        <w:tc>
          <w:tcPr>
            <w:tcW w:w="2340" w:type="dxa"/>
            <w:vAlign w:val="center"/>
          </w:tcPr>
          <w:p>
            <w:r>
              <w:rPr>
                <w:sz w:val="19"/>
              </w:rPr>
              <w:t xml:space="preserve">Registrar</w:t>
            </w:r>
          </w:p>
        </w:tc>
        <w:tc>
          <w:tcPr>
            <w:tcW w:w="2340" w:type="dxa"/>
            <w:vAlign w:val="center"/>
          </w:tcPr>
          <w:p>
            <w:r>
              <w:rPr>
                <w:sz w:val="19"/>
              </w:rPr>
              <w:t xml:space="preserve">Low -- no formal decision-making power over this engagement</w:t>
            </w:r>
          </w:p>
        </w:tc>
        <w:tc>
          <w:tcPr>
            <w:tcW w:w="2340" w:type="dxa"/>
            <w:vAlign w:val="center"/>
          </w:tcPr>
          <w:p>
            <w:r>
              <w:rPr>
                <w:sz w:val="19"/>
              </w:rPr>
              <w:t xml:space="preserve">Low -- provides the student data</w:t>
            </w:r>
          </w:p>
        </w:tc>
        <w:tc>
          <w:tcPr>
            <w:tcW w:w="2340" w:type="dxa"/>
            <w:vAlign w:val="center"/>
          </w:tcPr>
          <w:p>
            <w:r>
              <w:rPr>
                <w:sz w:val="19"/>
              </w:rPr>
              <w:t xml:space="preserve">Minimal Effort</w:t>
            </w:r>
          </w:p>
        </w:tc>
      </w:tr>
    </w:tbl>
    <w:p/>
    <w:p>
      <w:pPr>
        <w:pStyle w:val="Caption"/>
      </w:pPr>
      <w:r>
        <w:rPr>
          <w:b/>
        </w:rPr>
        <w:t>Table 1. </w:t>
      </w:r>
      <w:r>
        <w:t xml:space="preserve">Stakeholder Power and Interest Classification.</w:t>
      </w:r>
    </w:p>
    <w:p>
      <w:pPr>
        <w:pStyle w:val="Normal"/>
      </w:pPr>
      <w:r>
        <w:t xml:space="preserve">Based on the interest and power classifications for each of the stakeholders, the Mentoring Unit and IT Office are key players due to their interactions with one another. Changes in policies and tools will affect the daily operations of the unit, followed by the modification of the technical pipeline needing the input and control of the IT Office. The CSA Executive Director and ManCom must be kept satisfied, as the changes must be approved by them and are in line with institutional policies. ManCom oversees the final approval if the engagement results in drastic changes. School Mentoring Coordinators, Mentors, and Mentees need to be kept informed as they are directly impacted by the processes and policies. Lastly, HR, FMR, and Registrar will be given minimal effort as the engagement does not encroach on their exact processes -- their relationship with the Unit is purely external and the provision of data, with no say in power and interest in the engagement.</w:t>
      </w:r>
    </w:p>
    <w:p>
      <w:pPr>
        <w:pStyle w:val="Heading2"/>
      </w:pPr>
      <w:r>
        <w:t xml:space="preserve">1.7 Catalog</w:t>
      </w:r>
    </w:p>
    <w:p>
      <w:pPr>
        <w:pStyle w:val="Normal"/>
      </w:pPr>
      <w:r>
        <w:t xml:space="preserve">The stakeholder catalog maps out the key concerns of each of the relevant stakeholders.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color="auto" w:fill="1F4E79"/>
            <w:vAlign w:val="center"/>
          </w:tcPr>
          <w:p>
            <w:r>
              <w:rPr>
                <w:b/>
                <w:color w:val="FFFFFF"/>
                <w:sz w:val="19"/>
              </w:rPr>
              <w:t xml:space="preserve">Stakeholder</w:t>
            </w:r>
          </w:p>
        </w:tc>
        <w:tc>
          <w:tcPr>
            <w:tcW w:w="3120" w:type="dxa"/>
            <w:shd w:val="clear" w:color="auto" w:fill="1F4E79"/>
            <w:vAlign w:val="center"/>
          </w:tcPr>
          <w:p>
            <w:r>
              <w:rPr>
                <w:b/>
                <w:color w:val="FFFFFF"/>
                <w:sz w:val="19"/>
              </w:rPr>
              <w:t xml:space="preserve">Key Concern</w:t>
            </w:r>
          </w:p>
        </w:tc>
        <w:tc>
          <w:tcPr>
            <w:tcW w:w="3120" w:type="dxa"/>
            <w:shd w:val="clear" w:color="auto" w:fill="1F4E79"/>
            <w:vAlign w:val="center"/>
          </w:tcPr>
          <w:p>
            <w:r>
              <w:rPr>
                <w:b/>
                <w:color w:val="FFFFFF"/>
                <w:sz w:val="19"/>
              </w:rPr>
              <w:t xml:space="preserve">Classification</w:t>
            </w:r>
          </w:p>
        </w:tc>
      </w:tr>
      <w:tr>
        <w:tc>
          <w:tcPr>
            <w:tcW w:w="3120" w:type="dxa"/>
            <w:vAlign w:val="center"/>
          </w:tcPr>
          <w:p>
            <w:r>
              <w:rPr>
                <w:sz w:val="19"/>
              </w:rPr>
              <w:t xml:space="preserve">Mentoring Unit</w:t>
            </w:r>
          </w:p>
        </w:tc>
        <w:tc>
          <w:tcPr>
            <w:tcW w:w="3120" w:type="dxa"/>
            <w:vAlign w:val="center"/>
          </w:tcPr>
          <w:p>
            <w:r>
              <w:rPr>
                <w:sz w:val="19"/>
              </w:rPr>
              <w:t xml:space="preserve">Reducing session monitoring burden while ensuring accurate data</w:t>
            </w:r>
          </w:p>
        </w:tc>
        <w:tc>
          <w:tcPr>
            <w:tcW w:w="3120" w:type="dxa"/>
            <w:vAlign w:val="center"/>
          </w:tcPr>
          <w:p>
            <w:r>
              <w:rPr>
                <w:sz w:val="19"/>
              </w:rPr>
              <w:t xml:space="preserve">Key Player</w:t>
            </w:r>
          </w:p>
        </w:tc>
      </w:tr>
      <w:tr>
        <w:tc>
          <w:tcPr>
            <w:tcW w:w="3120" w:type="dxa"/>
            <w:vAlign w:val="center"/>
          </w:tcPr>
          <w:p>
            <w:r>
              <w:rPr>
                <w:sz w:val="19"/>
              </w:rPr>
              <w:t xml:space="preserve">IT Office</w:t>
            </w:r>
          </w:p>
        </w:tc>
        <w:tc>
          <w:tcPr>
            <w:tcW w:w="3120" w:type="dxa"/>
            <w:vAlign w:val="center"/>
          </w:tcPr>
          <w:p>
            <w:r>
              <w:rPr>
                <w:sz w:val="19"/>
              </w:rPr>
              <w:t xml:space="preserve">Feasibility and maintainability of any proposed technical system change</w:t>
            </w:r>
          </w:p>
        </w:tc>
        <w:tc>
          <w:tcPr>
            <w:tcW w:w="3120" w:type="dxa"/>
            <w:vAlign w:val="center"/>
          </w:tcPr>
          <w:p>
            <w:r>
              <w:rPr>
                <w:sz w:val="19"/>
              </w:rPr>
              <w:t xml:space="preserve">Key Player</w:t>
            </w:r>
          </w:p>
        </w:tc>
      </w:tr>
      <w:tr>
        <w:tc>
          <w:tcPr>
            <w:tcW w:w="3120" w:type="dxa"/>
            <w:vAlign w:val="center"/>
          </w:tcPr>
          <w:p>
            <w:r>
              <w:rPr>
                <w:sz w:val="19"/>
              </w:rPr>
              <w:t xml:space="preserve">CSA Executive Director</w:t>
            </w:r>
          </w:p>
        </w:tc>
        <w:tc>
          <w:tcPr>
            <w:tcW w:w="3120" w:type="dxa"/>
            <w:vAlign w:val="center"/>
          </w:tcPr>
          <w:p>
            <w:r>
              <w:rPr>
                <w:sz w:val="19"/>
              </w:rPr>
              <w:t xml:space="preserve">Institutional-policy compliance and reporting to ManCom</w:t>
            </w:r>
          </w:p>
        </w:tc>
        <w:tc>
          <w:tcPr>
            <w:tcW w:w="3120" w:type="dxa"/>
            <w:vAlign w:val="center"/>
          </w:tcPr>
          <w:p>
            <w:r>
              <w:rPr>
                <w:sz w:val="19"/>
              </w:rPr>
              <w:t xml:space="preserve">Keep Satisfied</w:t>
            </w:r>
          </w:p>
        </w:tc>
      </w:tr>
      <w:tr>
        <w:tc>
          <w:tcPr>
            <w:tcW w:w="3120" w:type="dxa"/>
            <w:vAlign w:val="center"/>
          </w:tcPr>
          <w:p>
            <w:r>
              <w:rPr>
                <w:sz w:val="19"/>
              </w:rPr>
              <w:t xml:space="preserve">ManCom</w:t>
            </w:r>
          </w:p>
        </w:tc>
        <w:tc>
          <w:tcPr>
            <w:tcW w:w="3120" w:type="dxa"/>
            <w:vAlign w:val="center"/>
          </w:tcPr>
          <w:p>
            <w:r>
              <w:rPr>
                <w:sz w:val="19"/>
              </w:rPr>
              <w:t xml:space="preserve">Institutional-policy compliance</w:t>
            </w:r>
          </w:p>
        </w:tc>
        <w:tc>
          <w:tcPr>
            <w:tcW w:w="3120" w:type="dxa"/>
            <w:vAlign w:val="center"/>
          </w:tcPr>
          <w:p>
            <w:r>
              <w:rPr>
                <w:sz w:val="19"/>
              </w:rPr>
              <w:t xml:space="preserve">Keep Satisfied</w:t>
            </w:r>
          </w:p>
        </w:tc>
      </w:tr>
      <w:tr>
        <w:tc>
          <w:tcPr>
            <w:tcW w:w="3120" w:type="dxa"/>
            <w:vAlign w:val="center"/>
          </w:tcPr>
          <w:p>
            <w:r>
              <w:rPr>
                <w:sz w:val="19"/>
              </w:rPr>
              <w:t xml:space="preserve">School Mentoring Coordinators</w:t>
            </w:r>
          </w:p>
        </w:tc>
        <w:tc>
          <w:tcPr>
            <w:tcW w:w="3120" w:type="dxa"/>
            <w:vAlign w:val="center"/>
          </w:tcPr>
          <w:p>
            <w:r>
              <w:rPr>
                <w:sz w:val="19"/>
              </w:rPr>
              <w:t xml:space="preserve">Minimal disruptions to each of their mentor-mentee pairing processes</w:t>
            </w:r>
          </w:p>
        </w:tc>
        <w:tc>
          <w:tcPr>
            <w:tcW w:w="3120" w:type="dxa"/>
            <w:vAlign w:val="center"/>
          </w:tcPr>
          <w:p>
            <w:r>
              <w:rPr>
                <w:sz w:val="19"/>
              </w:rPr>
              <w:t xml:space="preserve">Keep Informed</w:t>
            </w:r>
          </w:p>
        </w:tc>
      </w:tr>
      <w:tr>
        <w:tc>
          <w:tcPr>
            <w:tcW w:w="3120" w:type="dxa"/>
            <w:vAlign w:val="center"/>
          </w:tcPr>
          <w:p>
            <w:r>
              <w:rPr>
                <w:sz w:val="19"/>
              </w:rPr>
              <w:t xml:space="preserve">Mentors (faculty + external)</w:t>
            </w:r>
          </w:p>
        </w:tc>
        <w:tc>
          <w:tcPr>
            <w:tcW w:w="3120" w:type="dxa"/>
            <w:vAlign w:val="center"/>
          </w:tcPr>
          <w:p>
            <w:r>
              <w:rPr>
                <w:sz w:val="19"/>
              </w:rPr>
              <w:t xml:space="preserve">Less burden in session confirmation responsibility</w:t>
            </w:r>
          </w:p>
        </w:tc>
        <w:tc>
          <w:tcPr>
            <w:tcW w:w="3120" w:type="dxa"/>
            <w:vAlign w:val="center"/>
          </w:tcPr>
          <w:p>
            <w:r>
              <w:rPr>
                <w:sz w:val="19"/>
              </w:rPr>
              <w:t xml:space="preserve">Keep Informed</w:t>
            </w:r>
          </w:p>
        </w:tc>
      </w:tr>
      <w:tr>
        <w:tc>
          <w:tcPr>
            <w:tcW w:w="3120" w:type="dxa"/>
            <w:vAlign w:val="center"/>
          </w:tcPr>
          <w:p>
            <w:r>
              <w:rPr>
                <w:sz w:val="19"/>
              </w:rPr>
              <w:t xml:space="preserve">Mentees (students)</w:t>
            </w:r>
          </w:p>
        </w:tc>
        <w:tc>
          <w:tcPr>
            <w:tcW w:w="3120" w:type="dxa"/>
            <w:vAlign w:val="center"/>
          </w:tcPr>
          <w:p>
            <w:r>
              <w:rPr>
                <w:sz w:val="19"/>
              </w:rPr>
              <w:t xml:space="preserve">Meeting the required three sessions per semester without excessive friction</w:t>
            </w:r>
          </w:p>
        </w:tc>
        <w:tc>
          <w:tcPr>
            <w:tcW w:w="3120" w:type="dxa"/>
            <w:vAlign w:val="center"/>
          </w:tcPr>
          <w:p>
            <w:r>
              <w:rPr>
                <w:sz w:val="19"/>
              </w:rPr>
              <w:t xml:space="preserve">Keep Informed</w:t>
            </w:r>
          </w:p>
        </w:tc>
      </w:tr>
      <w:tr>
        <w:tc>
          <w:tcPr>
            <w:tcW w:w="3120" w:type="dxa"/>
            <w:vAlign w:val="center"/>
          </w:tcPr>
          <w:p>
            <w:r>
              <w:rPr>
                <w:sz w:val="19"/>
              </w:rPr>
              <w:t xml:space="preserve">HR</w:t>
            </w:r>
          </w:p>
        </w:tc>
        <w:tc>
          <w:tcPr>
            <w:tcW w:w="3120" w:type="dxa"/>
            <w:vAlign w:val="center"/>
          </w:tcPr>
          <w:p>
            <w:r>
              <w:rPr>
                <w:sz w:val="19"/>
              </w:rPr>
              <w:t xml:space="preserve">Communication and coordination with external mentors</w:t>
            </w:r>
          </w:p>
        </w:tc>
        <w:tc>
          <w:tcPr>
            <w:tcW w:w="3120" w:type="dxa"/>
            <w:vAlign w:val="center"/>
          </w:tcPr>
          <w:p>
            <w:r>
              <w:rPr>
                <w:sz w:val="19"/>
              </w:rPr>
              <w:t xml:space="preserve">Minimal Effort</w:t>
            </w:r>
          </w:p>
        </w:tc>
      </w:tr>
      <w:tr>
        <w:tc>
          <w:tcPr>
            <w:tcW w:w="3120" w:type="dxa"/>
            <w:vAlign w:val="center"/>
          </w:tcPr>
          <w:p>
            <w:r>
              <w:rPr>
                <w:sz w:val="19"/>
              </w:rPr>
              <w:t xml:space="preserve">FMR</w:t>
            </w:r>
          </w:p>
        </w:tc>
        <w:tc>
          <w:tcPr>
            <w:tcW w:w="3120" w:type="dxa"/>
            <w:vAlign w:val="center"/>
          </w:tcPr>
          <w:p>
            <w:r>
              <w:rPr>
                <w:sz w:val="19"/>
              </w:rPr>
              <w:t xml:space="preserve">Paying salaries according to the mentoring sessions</w:t>
            </w:r>
          </w:p>
        </w:tc>
        <w:tc>
          <w:tcPr>
            <w:tcW w:w="3120" w:type="dxa"/>
            <w:vAlign w:val="center"/>
          </w:tcPr>
          <w:p>
            <w:r>
              <w:rPr>
                <w:sz w:val="19"/>
              </w:rPr>
              <w:t xml:space="preserve">Minimal Effort</w:t>
            </w:r>
          </w:p>
        </w:tc>
      </w:tr>
      <w:tr>
        <w:tc>
          <w:tcPr>
            <w:tcW w:w="3120" w:type="dxa"/>
            <w:vAlign w:val="center"/>
          </w:tcPr>
          <w:p>
            <w:r>
              <w:rPr>
                <w:sz w:val="19"/>
              </w:rPr>
              <w:t xml:space="preserve">Registrar</w:t>
            </w:r>
          </w:p>
        </w:tc>
        <w:tc>
          <w:tcPr>
            <w:tcW w:w="3120" w:type="dxa"/>
            <w:vAlign w:val="center"/>
          </w:tcPr>
          <w:p>
            <w:r>
              <w:rPr>
                <w:sz w:val="19"/>
              </w:rPr>
              <w:t xml:space="preserve">No key concern within this engagement</w:t>
            </w:r>
          </w:p>
        </w:tc>
        <w:tc>
          <w:tcPr>
            <w:tcW w:w="3120" w:type="dxa"/>
            <w:vAlign w:val="center"/>
          </w:tcPr>
          <w:p>
            <w:r>
              <w:rPr>
                <w:sz w:val="19"/>
              </w:rPr>
              <w:t xml:space="preserve">Minimal Effort</w:t>
            </w:r>
          </w:p>
        </w:tc>
      </w:tr>
    </w:tbl>
    <w:p/>
    <w:p>
      <w:pPr>
        <w:pStyle w:val="Caption"/>
      </w:pPr>
      <w:r>
        <w:rPr>
          <w:b/>
        </w:rPr>
        <w:t>Table 2. </w:t>
      </w:r>
      <w:r>
        <w:t xml:space="preserve">Stakeholder Concern Catalog.</w:t>
      </w:r>
    </w:p>
    <w:p>
      <w:pPr>
        <w:pStyle w:val="Heading2"/>
      </w:pPr>
      <w:r>
        <w:t xml:space="preserve">1.8 RACI Matrix</w:t>
      </w:r>
    </w:p>
    <w:p>
      <w:pPr>
        <w:pStyle w:val="Normal"/>
      </w:pPr>
      <w:r>
        <w:t xml:space="preserve">Each person and stakeholder must have clear responsibility for any given activity. This is determined using a RACI (Responsible, Accountable, Consulted, and Informed) Matrix. For this engagement, Student A, Student B, the Mentoring Unit, the CSA Executive Director, and ManCom fall within the scope of this particular engagement because their roles and responsibilities touch on key areas of the business process of the mentoring program.</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shd w:val="clear" w:color="auto" w:fill="1F4E79"/>
            <w:vAlign w:val="center"/>
          </w:tcPr>
          <w:p>
            <w:r>
              <w:rPr>
                <w:b/>
                <w:color w:val="FFFFFF"/>
                <w:sz w:val="19"/>
              </w:rPr>
              <w:t xml:space="preserve">Activity</w:t>
            </w:r>
          </w:p>
        </w:tc>
        <w:tc>
          <w:tcPr>
            <w:tcW w:w="1560" w:type="dxa"/>
            <w:shd w:val="clear" w:color="auto" w:fill="1F4E79"/>
            <w:vAlign w:val="center"/>
          </w:tcPr>
          <w:p>
            <w:r>
              <w:rPr>
                <w:b/>
                <w:color w:val="FFFFFF"/>
                <w:sz w:val="19"/>
              </w:rPr>
              <w:t xml:space="preserve">Student A (Organizational Architect)</w:t>
            </w:r>
          </w:p>
        </w:tc>
        <w:tc>
          <w:tcPr>
            <w:tcW w:w="1560" w:type="dxa"/>
            <w:shd w:val="clear" w:color="auto" w:fill="1F4E79"/>
            <w:vAlign w:val="center"/>
          </w:tcPr>
          <w:p>
            <w:r>
              <w:rPr>
                <w:b/>
                <w:color w:val="FFFFFF"/>
                <w:sz w:val="19"/>
              </w:rPr>
              <w:t xml:space="preserve">Student B (Framework and Metamodel Architect)</w:t>
            </w:r>
          </w:p>
        </w:tc>
        <w:tc>
          <w:tcPr>
            <w:tcW w:w="1560" w:type="dxa"/>
            <w:shd w:val="clear" w:color="auto" w:fill="1F4E79"/>
            <w:vAlign w:val="center"/>
          </w:tcPr>
          <w:p>
            <w:r>
              <w:rPr>
                <w:b/>
                <w:color w:val="FFFFFF"/>
                <w:sz w:val="19"/>
              </w:rPr>
              <w:t xml:space="preserve">Mentoring Unit</w:t>
            </w:r>
          </w:p>
        </w:tc>
        <w:tc>
          <w:tcPr>
            <w:tcW w:w="1560" w:type="dxa"/>
            <w:shd w:val="clear" w:color="auto" w:fill="1F4E79"/>
            <w:vAlign w:val="center"/>
          </w:tcPr>
          <w:p>
            <w:r>
              <w:rPr>
                <w:b/>
                <w:color w:val="FFFFFF"/>
                <w:sz w:val="19"/>
              </w:rPr>
              <w:t xml:space="preserve">CSA Executive Director</w:t>
            </w:r>
          </w:p>
        </w:tc>
        <w:tc>
          <w:tcPr>
            <w:tcW w:w="1560" w:type="dxa"/>
            <w:shd w:val="clear" w:color="auto" w:fill="1F4E79"/>
            <w:vAlign w:val="center"/>
          </w:tcPr>
          <w:p>
            <w:r>
              <w:rPr>
                <w:b/>
                <w:color w:val="FFFFFF"/>
                <w:sz w:val="19"/>
              </w:rPr>
              <w:t xml:space="preserve">ManCom</w:t>
            </w:r>
          </w:p>
        </w:tc>
      </w:tr>
      <w:tr>
        <w:tc>
          <w:tcPr>
            <w:tcW w:w="1560" w:type="dxa"/>
            <w:vAlign w:val="center"/>
          </w:tcPr>
          <w:p>
            <w:r>
              <w:rPr>
                <w:sz w:val="19"/>
              </w:rPr>
              <w:t xml:space="preserve">Define boundary and scope statement</w:t>
            </w:r>
          </w:p>
        </w:tc>
        <w:tc>
          <w:tcPr>
            <w:tcW w:w="1560" w:type="dxa"/>
            <w:vAlign w:val="center"/>
          </w:tcPr>
          <w:p>
            <w:r>
              <w:rPr>
                <w:sz w:val="19"/>
              </w:rPr>
              <w:t xml:space="preserve">R/A</w:t>
            </w:r>
          </w:p>
        </w:tc>
        <w:tc>
          <w:tcPr>
            <w:tcW w:w="1560" w:type="dxa"/>
            <w:vAlign w:val="center"/>
          </w:tcPr>
          <w:p>
            <w:r>
              <w:rPr>
                <w:sz w:val="19"/>
              </w:rPr>
              <w:t xml:space="preserve">C</w:t>
            </w:r>
          </w:p>
        </w:tc>
        <w:tc>
          <w:tcPr>
            <w:tcW w:w="1560" w:type="dxa"/>
            <w:vAlign w:val="center"/>
          </w:tcPr>
          <w:p>
            <w:r>
              <w:rPr>
                <w:sz w:val="19"/>
              </w:rPr>
              <w:t xml:space="preserve">C</w:t>
            </w:r>
          </w:p>
        </w:tc>
        <w:tc>
          <w:tcPr>
            <w:tcW w:w="1560" w:type="dxa"/>
            <w:vAlign w:val="center"/>
          </w:tcPr>
          <w:p>
            <w:r>
              <w:rPr>
                <w:sz w:val="19"/>
              </w:rPr>
              <w:t xml:space="preserve">I</w:t>
            </w:r>
          </w:p>
        </w:tc>
        <w:tc>
          <w:tcPr>
            <w:tcW w:w="1560" w:type="dxa"/>
            <w:vAlign w:val="center"/>
          </w:tcPr>
          <w:p>
            <w:r>
              <w:rPr>
                <w:sz w:val="19"/>
              </w:rPr>
              <w:t xml:space="preserve">-</w:t>
            </w:r>
          </w:p>
        </w:tc>
      </w:tr>
      <w:tr>
        <w:tc>
          <w:tcPr>
            <w:tcW w:w="1560" w:type="dxa"/>
            <w:vAlign w:val="center"/>
          </w:tcPr>
          <w:p>
            <w:r>
              <w:rPr>
                <w:sz w:val="19"/>
              </w:rPr>
              <w:t xml:space="preserve">Build stakeholder map and RACI</w:t>
            </w:r>
          </w:p>
        </w:tc>
        <w:tc>
          <w:tcPr>
            <w:tcW w:w="1560" w:type="dxa"/>
            <w:vAlign w:val="center"/>
          </w:tcPr>
          <w:p>
            <w:r>
              <w:rPr>
                <w:sz w:val="19"/>
              </w:rPr>
              <w:t xml:space="preserve">R/A</w:t>
            </w:r>
          </w:p>
        </w:tc>
        <w:tc>
          <w:tcPr>
            <w:tcW w:w="1560" w:type="dxa"/>
            <w:vAlign w:val="center"/>
          </w:tcPr>
          <w:p>
            <w:r>
              <w:rPr>
                <w:sz w:val="19"/>
              </w:rPr>
              <w:t xml:space="preserve">C</w:t>
            </w:r>
          </w:p>
        </w:tc>
        <w:tc>
          <w:tcPr>
            <w:tcW w:w="1560" w:type="dxa"/>
            <w:vAlign w:val="center"/>
          </w:tcPr>
          <w:p>
            <w:r>
              <w:rPr>
                <w:sz w:val="19"/>
              </w:rPr>
              <w:t xml:space="preserve">C</w:t>
            </w:r>
          </w:p>
        </w:tc>
        <w:tc>
          <w:tcPr>
            <w:tcW w:w="1560" w:type="dxa"/>
            <w:vAlign w:val="center"/>
          </w:tcPr>
          <w:p>
            <w:r>
              <w:rPr>
                <w:sz w:val="19"/>
              </w:rPr>
              <w:t xml:space="preserve">I</w:t>
            </w:r>
          </w:p>
        </w:tc>
        <w:tc>
          <w:tcPr>
            <w:tcW w:w="1560" w:type="dxa"/>
            <w:vAlign w:val="center"/>
          </w:tcPr>
          <w:p>
            <w:r>
              <w:rPr>
                <w:sz w:val="19"/>
              </w:rPr>
              <w:t xml:space="preserve">-</w:t>
            </w:r>
          </w:p>
        </w:tc>
      </w:tr>
      <w:tr>
        <w:tc>
          <w:tcPr>
            <w:tcW w:w="1560" w:type="dxa"/>
            <w:vAlign w:val="center"/>
          </w:tcPr>
          <w:p>
            <w:r>
              <w:rPr>
                <w:sz w:val="19"/>
              </w:rPr>
              <w:t xml:space="preserve">Tailor enterprise metamodel</w:t>
            </w:r>
          </w:p>
        </w:tc>
        <w:tc>
          <w:tcPr>
            <w:tcW w:w="1560" w:type="dxa"/>
            <w:vAlign w:val="center"/>
          </w:tcPr>
          <w:p>
            <w:r>
              <w:rPr>
                <w:sz w:val="19"/>
              </w:rPr>
              <w:t xml:space="preserve">C</w:t>
            </w:r>
          </w:p>
        </w:tc>
        <w:tc>
          <w:tcPr>
            <w:tcW w:w="1560" w:type="dxa"/>
            <w:vAlign w:val="center"/>
          </w:tcPr>
          <w:p>
            <w:r>
              <w:rPr>
                <w:sz w:val="19"/>
              </w:rPr>
              <w:t xml:space="preserve">R/A</w:t>
            </w:r>
          </w:p>
        </w:tc>
        <w:tc>
          <w:tcPr>
            <w:tcW w:w="1560" w:type="dxa"/>
            <w:vAlign w:val="center"/>
          </w:tcPr>
          <w:p>
            <w:r>
              <w:rPr>
                <w:sz w:val="19"/>
              </w:rPr>
              <w:t xml:space="preserve">I</w:t>
            </w:r>
          </w:p>
        </w:tc>
        <w:tc>
          <w:tcPr>
            <w:tcW w:w="1560" w:type="dxa"/>
            <w:vAlign w:val="center"/>
          </w:tcPr>
          <w:p>
            <w:r>
              <w:rPr>
                <w:sz w:val="19"/>
              </w:rPr>
              <w:t xml:space="preserve">I</w:t>
            </w:r>
          </w:p>
        </w:tc>
        <w:tc>
          <w:tcPr>
            <w:tcW w:w="1560" w:type="dxa"/>
            <w:vAlign w:val="center"/>
          </w:tcPr>
          <w:p>
            <w:r>
              <w:rPr>
                <w:sz w:val="19"/>
              </w:rPr>
              <w:t xml:space="preserve">-</w:t>
            </w:r>
          </w:p>
        </w:tc>
      </w:tr>
      <w:tr>
        <w:tc>
          <w:tcPr>
            <w:tcW w:w="1560" w:type="dxa"/>
            <w:vAlign w:val="center"/>
          </w:tcPr>
          <w:p>
            <w:r>
              <w:rPr>
                <w:sz w:val="19"/>
              </w:rPr>
              <w:t xml:space="preserve">Tailor content framework</w:t>
            </w:r>
          </w:p>
        </w:tc>
        <w:tc>
          <w:tcPr>
            <w:tcW w:w="1560" w:type="dxa"/>
            <w:vAlign w:val="center"/>
          </w:tcPr>
          <w:p>
            <w:r>
              <w:rPr>
                <w:sz w:val="19"/>
              </w:rPr>
              <w:t xml:space="preserve">C</w:t>
            </w:r>
          </w:p>
        </w:tc>
        <w:tc>
          <w:tcPr>
            <w:tcW w:w="1560" w:type="dxa"/>
            <w:vAlign w:val="center"/>
          </w:tcPr>
          <w:p>
            <w:r>
              <w:rPr>
                <w:sz w:val="19"/>
              </w:rPr>
              <w:t xml:space="preserve">R/A</w:t>
            </w:r>
          </w:p>
        </w:tc>
        <w:tc>
          <w:tcPr>
            <w:tcW w:w="1560" w:type="dxa"/>
            <w:vAlign w:val="center"/>
          </w:tcPr>
          <w:p>
            <w:r>
              <w:rPr>
                <w:sz w:val="19"/>
              </w:rPr>
              <w:t xml:space="preserve">I</w:t>
            </w:r>
          </w:p>
        </w:tc>
        <w:tc>
          <w:tcPr>
            <w:tcW w:w="1560" w:type="dxa"/>
            <w:vAlign w:val="center"/>
          </w:tcPr>
          <w:p>
            <w:r>
              <w:rPr>
                <w:sz w:val="19"/>
              </w:rPr>
              <w:t xml:space="preserve">I</w:t>
            </w:r>
          </w:p>
        </w:tc>
        <w:tc>
          <w:tcPr>
            <w:tcW w:w="1560" w:type="dxa"/>
            <w:vAlign w:val="center"/>
          </w:tcPr>
          <w:p>
            <w:r>
              <w:rPr>
                <w:sz w:val="19"/>
              </w:rPr>
              <w:t xml:space="preserve">-</w:t>
            </w:r>
          </w:p>
        </w:tc>
      </w:tr>
      <w:tr>
        <w:tc>
          <w:tcPr>
            <w:tcW w:w="1560" w:type="dxa"/>
            <w:vAlign w:val="center"/>
          </w:tcPr>
          <w:p>
            <w:r>
              <w:rPr>
                <w:sz w:val="19"/>
              </w:rPr>
              <w:t xml:space="preserve">Draft principles catalog</w:t>
            </w:r>
          </w:p>
        </w:tc>
        <w:tc>
          <w:tcPr>
            <w:tcW w:w="1560" w:type="dxa"/>
            <w:vAlign w:val="center"/>
          </w:tcPr>
          <w:p>
            <w:r>
              <w:rPr>
                <w:sz w:val="19"/>
              </w:rPr>
              <w:t xml:space="preserve">R</w:t>
            </w:r>
          </w:p>
        </w:tc>
        <w:tc>
          <w:tcPr>
            <w:tcW w:w="1560" w:type="dxa"/>
            <w:vAlign w:val="center"/>
          </w:tcPr>
          <w:p>
            <w:r>
              <w:rPr>
                <w:sz w:val="19"/>
              </w:rPr>
              <w:t xml:space="preserve">R</w:t>
            </w:r>
          </w:p>
        </w:tc>
        <w:tc>
          <w:tcPr>
            <w:tcW w:w="1560" w:type="dxa"/>
            <w:vAlign w:val="center"/>
          </w:tcPr>
          <w:p>
            <w:r>
              <w:rPr>
                <w:sz w:val="19"/>
              </w:rPr>
              <w:t xml:space="preserve">C</w:t>
            </w:r>
          </w:p>
        </w:tc>
        <w:tc>
          <w:tcPr>
            <w:tcW w:w="1560" w:type="dxa"/>
            <w:vAlign w:val="center"/>
          </w:tcPr>
          <w:p>
            <w:r>
              <w:rPr>
                <w:sz w:val="19"/>
              </w:rPr>
              <w:t xml:space="preserve">A</w:t>
            </w:r>
          </w:p>
        </w:tc>
        <w:tc>
          <w:tcPr>
            <w:tcW w:w="1560" w:type="dxa"/>
            <w:vAlign w:val="center"/>
          </w:tcPr>
          <w:p>
            <w:r>
              <w:rPr>
                <w:sz w:val="19"/>
              </w:rPr>
              <w:t xml:space="preserve">I</w:t>
            </w:r>
          </w:p>
        </w:tc>
      </w:tr>
      <w:tr>
        <w:tc>
          <w:tcPr>
            <w:tcW w:w="1560" w:type="dxa"/>
            <w:vAlign w:val="center"/>
          </w:tcPr>
          <w:p>
            <w:r>
              <w:rPr>
                <w:sz w:val="19"/>
              </w:rPr>
              <w:t xml:space="preserve">Draft request for architecture work</w:t>
            </w:r>
          </w:p>
        </w:tc>
        <w:tc>
          <w:tcPr>
            <w:tcW w:w="1560" w:type="dxa"/>
            <w:vAlign w:val="center"/>
          </w:tcPr>
          <w:p>
            <w:r>
              <w:rPr>
                <w:sz w:val="19"/>
              </w:rPr>
              <w:t xml:space="preserve">R</w:t>
            </w:r>
          </w:p>
        </w:tc>
        <w:tc>
          <w:tcPr>
            <w:tcW w:w="1560" w:type="dxa"/>
            <w:vAlign w:val="center"/>
          </w:tcPr>
          <w:p>
            <w:r>
              <w:rPr>
                <w:sz w:val="19"/>
              </w:rPr>
              <w:t xml:space="preserve">R</w:t>
            </w:r>
          </w:p>
        </w:tc>
        <w:tc>
          <w:tcPr>
            <w:tcW w:w="1560" w:type="dxa"/>
            <w:vAlign w:val="center"/>
          </w:tcPr>
          <w:p>
            <w:r>
              <w:rPr>
                <w:sz w:val="19"/>
              </w:rPr>
              <w:t xml:space="preserve">C</w:t>
            </w:r>
          </w:p>
        </w:tc>
        <w:tc>
          <w:tcPr>
            <w:tcW w:w="1560" w:type="dxa"/>
            <w:vAlign w:val="center"/>
          </w:tcPr>
          <w:p>
            <w:r>
              <w:rPr>
                <w:sz w:val="19"/>
              </w:rPr>
              <w:t xml:space="preserve">A</w:t>
            </w:r>
          </w:p>
        </w:tc>
        <w:tc>
          <w:tcPr>
            <w:tcW w:w="1560" w:type="dxa"/>
            <w:vAlign w:val="center"/>
          </w:tcPr>
          <w:p>
            <w:r>
              <w:rPr>
                <w:sz w:val="19"/>
              </w:rPr>
              <w:t xml:space="preserve">I</w:t>
            </w:r>
          </w:p>
        </w:tc>
      </w:tr>
      <w:tr>
        <w:tc>
          <w:tcPr>
            <w:tcW w:w="1560" w:type="dxa"/>
            <w:vAlign w:val="center"/>
          </w:tcPr>
          <w:p>
            <w:r>
              <w:rPr>
                <w:sz w:val="19"/>
              </w:rPr>
              <w:t xml:space="preserve">Approve/Ratify preliminary phase deliverables</w:t>
            </w:r>
          </w:p>
        </w:tc>
        <w:tc>
          <w:tcPr>
            <w:tcW w:w="1560" w:type="dxa"/>
            <w:vAlign w:val="center"/>
          </w:tcPr>
          <w:p>
            <w:r>
              <w:rPr>
                <w:sz w:val="19"/>
              </w:rPr>
              <w:t xml:space="preserve">I</w:t>
            </w:r>
          </w:p>
        </w:tc>
        <w:tc>
          <w:tcPr>
            <w:tcW w:w="1560" w:type="dxa"/>
            <w:vAlign w:val="center"/>
          </w:tcPr>
          <w:p>
            <w:r>
              <w:rPr>
                <w:sz w:val="19"/>
              </w:rPr>
              <w:t xml:space="preserve">I</w:t>
            </w:r>
          </w:p>
        </w:tc>
        <w:tc>
          <w:tcPr>
            <w:tcW w:w="1560" w:type="dxa"/>
            <w:vAlign w:val="center"/>
          </w:tcPr>
          <w:p>
            <w:r>
              <w:rPr>
                <w:sz w:val="19"/>
              </w:rPr>
              <w:t xml:space="preserve">C</w:t>
            </w:r>
          </w:p>
        </w:tc>
        <w:tc>
          <w:tcPr>
            <w:tcW w:w="1560" w:type="dxa"/>
            <w:vAlign w:val="center"/>
          </w:tcPr>
          <w:p>
            <w:r>
              <w:rPr>
                <w:sz w:val="19"/>
              </w:rPr>
              <w:t xml:space="preserve">R</w:t>
            </w:r>
          </w:p>
        </w:tc>
        <w:tc>
          <w:tcPr>
            <w:tcW w:w="1560" w:type="dxa"/>
            <w:vAlign w:val="center"/>
          </w:tcPr>
          <w:p>
            <w:r>
              <w:rPr>
                <w:sz w:val="19"/>
              </w:rPr>
              <w:t xml:space="preserve">A</w:t>
            </w:r>
          </w:p>
        </w:tc>
      </w:tr>
    </w:tbl>
    <w:p/>
    <w:p>
      <w:pPr>
        <w:pStyle w:val="Caption"/>
      </w:pPr>
      <w:r>
        <w:rPr>
          <w:b/>
        </w:rPr>
        <w:t>Table 3. </w:t>
      </w:r>
      <w:r>
        <w:t xml:space="preserve">RACI Matrix for Preliminary Phase Activities.</w:t>
      </w:r>
    </w:p>
    <w:p>
      <w:pPr>
        <w:pStyle w:val="Heading2"/>
      </w:pPr>
      <w:r>
        <w:t xml:space="preserve">1.9 Framework Interface Assessment</w:t>
      </w:r>
    </w:p>
    <w:p>
      <w:pPr>
        <w:pStyle w:val="Normal"/>
      </w:pPr>
      <w:r>
        <w:t xml:space="preserve">Based on the initial interview, there are three considerations regarding their current business processes and approval rhythm:</w:t>
      </w:r>
    </w:p>
    <w:p>
      <w:pPr>
        <w:pStyle w:val="Heading3"/>
      </w:pPr>
      <w:r>
        <w:t xml:space="preserve">1.9.1 CSA's Governance/Approval Chain</w:t>
      </w:r>
    </w:p>
    <w:p>
      <w:pPr>
        <w:pStyle w:val="Normal"/>
      </w:pPr>
      <w:r>
        <w:t xml:space="preserve">The governance/approval chain of the CSA is an existing framework and cannot be modified. All changes at the CSA-level are to be approved by the Executive Director, while any major or institutional changes must be first approved by them and finalized by ManCom. The average approval time of the Executive Director is approximately two weeks. However, ManCom is subject to internal and external factors of that department. This is the framework that a proposed enterprise architecture must incorporate seamlessly.</w:t>
      </w:r>
    </w:p>
    <w:p>
      <w:pPr>
        <w:pStyle w:val="Heading3"/>
      </w:pPr>
      <w:r>
        <w:t xml:space="preserve">1.9.2 Academic Calendar as an Operating-Rhythm Constraint</w:t>
      </w:r>
    </w:p>
    <w:p>
      <w:pPr>
        <w:pStyle w:val="Normal"/>
      </w:pPr>
      <w:r>
        <w:t xml:space="preserve">Mentor-mentee pairings occur at the beginning, and compliance with the required number of mentoring sessions and monitoring must be done by the end of the semester. This is a constraint, as the enterprise architecture must fall within this working timeframe. Any proposed process or solution that encroaches beyond this boundary will not interface accordingly with the unit's own operating rhythm.</w:t>
      </w:r>
    </w:p>
    <w:p>
      <w:pPr>
        <w:pStyle w:val="Heading3"/>
      </w:pPr>
      <w:r>
        <w:t xml:space="preserve">1.9.3 No Formal ITIL/Agile/Scrum Methodology</w:t>
      </w:r>
    </w:p>
    <w:p>
      <w:pPr>
        <w:pStyle w:val="Normal"/>
      </w:pPr>
      <w:r>
        <w:t xml:space="preserve">The Mentoring Unit currently does not apply any of the ITIL, Agile, or Scrum methodologies. Work is simply monitored when they can, with little to no form of formal reporting. Each business activity is almost entirely reliant on manual processes -- human monitoring is the only way to confirm that data is accurate. Overall, the unit operates informally and does not cause major issues due to the unit's size. A proposed architecture will not force this change but could be proposed.</w:t>
      </w:r>
    </w:p>
    <w:p>
      <w:r>
        <w:br w:type="page"/>
      </w:r>
    </w:p>
    <w:p>
      <w:pPr>
        <w:pStyle w:val="Heading1"/>
      </w:pPr>
      <w:r>
        <w:t xml:space="preserve">2. Tailored Enterprise Metamodel</w:t>
      </w:r>
    </w:p>
    <w:p>
      <w:pPr>
        <w:pStyle w:val="Normal"/>
      </w:pPr>
      <w:r>
        <w:t xml:space="preserve">Tailoring proceeded from the TOGAF Core Enterprise Metamodel (The Open Group, 2022, Figure 3-8). Each of the thirty-six entity types defined there was assessed individually and either retained or removed. The criteria governing these decisions are set out in Section 3.2.</w:t>
      </w:r>
    </w:p>
    <w:p>
      <w:pPr>
        <w:pStyle w:val="Heading2"/>
      </w:pPr>
      <w:r>
        <w:t xml:space="preserve">2.1 General Entities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color="auto" w:fill="1F4E79"/>
            <w:vAlign w:val="center"/>
          </w:tcPr>
          <w:p>
            <w:r>
              <w:rPr>
                <w:b/>
                <w:color w:val="FFFFFF"/>
                <w:sz w:val="19"/>
              </w:rPr>
              <w:t xml:space="preserve">Entity</w:t>
            </w:r>
          </w:p>
        </w:tc>
        <w:tc>
          <w:tcPr>
            <w:tcW w:w="3120" w:type="dxa"/>
            <w:shd w:val="clear" w:color="auto" w:fill="1F4E79"/>
            <w:vAlign w:val="center"/>
          </w:tcPr>
          <w:p>
            <w:r>
              <w:rPr>
                <w:b/>
                <w:color w:val="FFFFFF"/>
                <w:sz w:val="19"/>
              </w:rPr>
              <w:t xml:space="preserve">Decision</w:t>
            </w:r>
          </w:p>
        </w:tc>
        <w:tc>
          <w:tcPr>
            <w:tcW w:w="3120" w:type="dxa"/>
            <w:shd w:val="clear" w:color="auto" w:fill="1F4E79"/>
            <w:vAlign w:val="center"/>
          </w:tcPr>
          <w:p>
            <w:r>
              <w:rPr>
                <w:b/>
                <w:color w:val="FFFFFF"/>
                <w:sz w:val="19"/>
              </w:rPr>
              <w:t xml:space="preserve">Justification</w:t>
            </w:r>
          </w:p>
        </w:tc>
      </w:tr>
      <w:tr>
        <w:tc>
          <w:tcPr>
            <w:tcW w:w="3120" w:type="dxa"/>
            <w:vAlign w:val="center"/>
          </w:tcPr>
          <w:p>
            <w:r>
              <w:rPr>
                <w:sz w:val="19"/>
              </w:rPr>
              <w:t xml:space="preserve">Principle</w:t>
            </w:r>
          </w:p>
        </w:tc>
        <w:tc>
          <w:tcPr>
            <w:tcW w:w="3120" w:type="dxa"/>
            <w:vAlign w:val="center"/>
          </w:tcPr>
          <w:p>
            <w:r>
              <w:rPr>
                <w:sz w:val="19"/>
              </w:rPr>
              <w:t xml:space="preserve">Retain</w:t>
            </w:r>
          </w:p>
        </w:tc>
        <w:tc>
          <w:tcPr>
            <w:tcW w:w="3120" w:type="dxa"/>
            <w:vAlign w:val="center"/>
          </w:tcPr>
          <w:p>
            <w:r>
              <w:rPr>
                <w:sz w:val="19"/>
              </w:rPr>
              <w:t xml:space="preserve">Section 5 (Principles Catalog) produces a set of principles that must bind architectural decisions. The unit characterizes its own mandate as policy implementation, which gives principles a natural anchor in existing practice.</w:t>
            </w:r>
          </w:p>
        </w:tc>
      </w:tr>
      <w:tr>
        <w:tc>
          <w:tcPr>
            <w:tcW w:w="3120" w:type="dxa"/>
            <w:vAlign w:val="center"/>
          </w:tcPr>
          <w:p>
            <w:r>
              <w:rPr>
                <w:sz w:val="19"/>
              </w:rPr>
              <w:t xml:space="preserve">Constraint</w:t>
            </w:r>
          </w:p>
        </w:tc>
        <w:tc>
          <w:tcPr>
            <w:tcW w:w="3120" w:type="dxa"/>
            <w:vAlign w:val="center"/>
          </w:tcPr>
          <w:p>
            <w:r>
              <w:rPr>
                <w:sz w:val="19"/>
              </w:rPr>
              <w:t xml:space="preserve">Retain</w:t>
            </w:r>
          </w:p>
        </w:tc>
        <w:tc>
          <w:tcPr>
            <w:tcW w:w="3120" w:type="dxa"/>
            <w:vAlign w:val="center"/>
          </w:tcPr>
          <w:p>
            <w:r>
              <w:rPr>
                <w:sz w:val="19"/>
              </w:rPr>
              <w:t xml:space="preserve">Several constraints are hard and externally imposed. Pairing cannot begin until the Registrar's enrollment list is final, change of mentor circumstances and pairing preferences are confidential, and the unit cannot alter policy without approval from the Executive Director and, for substantial change, the Management Committee.</w:t>
            </w:r>
          </w:p>
        </w:tc>
      </w:tr>
      <w:tr>
        <w:tc>
          <w:tcPr>
            <w:tcW w:w="3120" w:type="dxa"/>
            <w:vAlign w:val="center"/>
          </w:tcPr>
          <w:p>
            <w:r>
              <w:rPr>
                <w:sz w:val="19"/>
              </w:rPr>
              <w:t xml:space="preserve">Assumption</w:t>
            </w:r>
          </w:p>
        </w:tc>
        <w:tc>
          <w:tcPr>
            <w:tcW w:w="3120" w:type="dxa"/>
            <w:vAlign w:val="center"/>
          </w:tcPr>
          <w:p>
            <w:r>
              <w:rPr>
                <w:sz w:val="19"/>
              </w:rPr>
              <w:t xml:space="preserve">Retain</w:t>
            </w:r>
          </w:p>
        </w:tc>
        <w:tc>
          <w:tcPr>
            <w:tcW w:w="3120" w:type="dxa"/>
            <w:vAlign w:val="center"/>
          </w:tcPr>
          <w:p>
            <w:r>
              <w:rPr>
                <w:sz w:val="19"/>
              </w:rPr>
              <w:t xml:space="preserve">The current process is untested. The coordinators stated that this is the first semester of mandatory mentoring and the first in which logging has been the student's responsibility. Whether that transfer of responsibility improves compliance is an unverified assumption on which the architecture rests and should be recorded as one.</w:t>
            </w:r>
          </w:p>
        </w:tc>
      </w:tr>
      <w:tr>
        <w:tc>
          <w:tcPr>
            <w:tcW w:w="3120" w:type="dxa"/>
            <w:vAlign w:val="center"/>
          </w:tcPr>
          <w:p>
            <w:r>
              <w:rPr>
                <w:sz w:val="19"/>
              </w:rPr>
              <w:t xml:space="preserve">Requirement</w:t>
            </w:r>
          </w:p>
        </w:tc>
        <w:tc>
          <w:tcPr>
            <w:tcW w:w="3120" w:type="dxa"/>
            <w:vAlign w:val="center"/>
          </w:tcPr>
          <w:p>
            <w:r>
              <w:rPr>
                <w:sz w:val="19"/>
              </w:rPr>
              <w:t xml:space="preserve">Retain</w:t>
            </w:r>
          </w:p>
        </w:tc>
        <w:tc>
          <w:tcPr>
            <w:tcW w:w="3120" w:type="dxa"/>
            <w:vAlign w:val="center"/>
          </w:tcPr>
          <w:p>
            <w:r>
              <w:rPr>
                <w:sz w:val="19"/>
              </w:rPr>
              <w:t xml:space="preserve">Required for the Request for Architecture Work (Section 6) and for Requirements Management throughout the cycle. Two are already evident: pairing data must be consistent across every office that processes it, and compliance data must be capable of answering questions put by the Management Committee.</w:t>
            </w:r>
          </w:p>
        </w:tc>
      </w:tr>
      <w:tr>
        <w:tc>
          <w:tcPr>
            <w:tcW w:w="3120" w:type="dxa"/>
            <w:vAlign w:val="center"/>
          </w:tcPr>
          <w:p>
            <w:r>
              <w:rPr>
                <w:sz w:val="19"/>
              </w:rPr>
              <w:t xml:space="preserve">Location</w:t>
            </w:r>
          </w:p>
        </w:tc>
        <w:tc>
          <w:tcPr>
            <w:tcW w:w="3120" w:type="dxa"/>
            <w:vAlign w:val="center"/>
          </w:tcPr>
          <w:p>
            <w:r>
              <w:rPr>
                <w:sz w:val="19"/>
              </w:rPr>
              <w:t xml:space="preserve">Remove</w:t>
            </w:r>
          </w:p>
        </w:tc>
        <w:tc>
          <w:tcPr>
            <w:tcW w:w="3120" w:type="dxa"/>
            <w:vAlign w:val="center"/>
          </w:tcPr>
          <w:p>
            <w:r>
              <w:rPr>
                <w:sz w:val="19"/>
              </w:rPr>
              <w:t xml:space="preserve">Operations are confined to a single campus and the program runs identically across all schools. The session log records where on campus a meeting occurred, but this is an attribute of a session record rather than an architecturally significant Location.</w:t>
            </w:r>
          </w:p>
        </w:tc>
      </w:tr>
      <w:tr>
        <w:tc>
          <w:tcPr>
            <w:tcW w:w="3120" w:type="dxa"/>
            <w:vAlign w:val="center"/>
          </w:tcPr>
          <w:p>
            <w:r>
              <w:rPr>
                <w:sz w:val="19"/>
              </w:rPr>
              <w:t xml:space="preserve">Gap</w:t>
            </w:r>
          </w:p>
        </w:tc>
        <w:tc>
          <w:tcPr>
            <w:tcW w:w="3120" w:type="dxa"/>
            <w:vAlign w:val="center"/>
          </w:tcPr>
          <w:p>
            <w:r>
              <w:rPr>
                <w:sz w:val="19"/>
              </w:rPr>
              <w:t xml:space="preserve">Retain</w:t>
            </w:r>
          </w:p>
        </w:tc>
        <w:tc>
          <w:tcPr>
            <w:tcW w:w="3120" w:type="dxa"/>
            <w:vAlign w:val="center"/>
          </w:tcPr>
          <w:p>
            <w:r>
              <w:rPr>
                <w:sz w:val="19"/>
              </w:rPr>
              <w:t xml:space="preserve">Required for Phase E. One gap is already apparent: the pairing register and the session log response store hold related data without an interface between them, a deficiency raised unprompted by the operations coordinator.</w:t>
            </w:r>
          </w:p>
        </w:tc>
      </w:tr>
      <w:tr>
        <w:tc>
          <w:tcPr>
            <w:tcW w:w="3120" w:type="dxa"/>
            <w:vAlign w:val="center"/>
          </w:tcPr>
          <w:p>
            <w:r>
              <w:rPr>
                <w:sz w:val="19"/>
              </w:rPr>
              <w:t xml:space="preserve">Work Package</w:t>
            </w:r>
          </w:p>
        </w:tc>
        <w:tc>
          <w:tcPr>
            <w:tcW w:w="3120" w:type="dxa"/>
            <w:vAlign w:val="center"/>
          </w:tcPr>
          <w:p>
            <w:r>
              <w:rPr>
                <w:sz w:val="19"/>
              </w:rPr>
              <w:t xml:space="preserve">Retain</w:t>
            </w:r>
          </w:p>
        </w:tc>
        <w:tc>
          <w:tcPr>
            <w:tcW w:w="3120" w:type="dxa"/>
            <w:vAlign w:val="center"/>
          </w:tcPr>
          <w:p>
            <w:r>
              <w:rPr>
                <w:sz w:val="19"/>
              </w:rPr>
              <w:t xml:space="preserve">Carries the Architecture Roadmap in Phase E. The coordinators' proposal to trial any change within a single school before wider adoption is a work package in substance.</w:t>
            </w:r>
          </w:p>
        </w:tc>
      </w:tr>
      <w:tr>
        <w:tc>
          <w:tcPr>
            <w:tcW w:w="3120" w:type="dxa"/>
            <w:vAlign w:val="center"/>
          </w:tcPr>
          <w:p>
            <w:r>
              <w:rPr>
                <w:sz w:val="19"/>
              </w:rPr>
              <w:t xml:space="preserve">Capability</w:t>
            </w:r>
          </w:p>
        </w:tc>
        <w:tc>
          <w:tcPr>
            <w:tcW w:w="3120" w:type="dxa"/>
            <w:vAlign w:val="center"/>
          </w:tcPr>
          <w:p>
            <w:r>
              <w:rPr>
                <w:sz w:val="19"/>
              </w:rPr>
              <w:t xml:space="preserve">Retain</w:t>
            </w:r>
          </w:p>
        </w:tc>
        <w:tc>
          <w:tcPr>
            <w:tcW w:w="3120" w:type="dxa"/>
            <w:vAlign w:val="center"/>
          </w:tcPr>
          <w:p>
            <w:r>
              <w:rPr>
                <w:sz w:val="19"/>
              </w:rPr>
              <w:t xml:space="preserve">Distinct from Business Capability. This entity denotes an ability delivered by a work package and is used to express change increments rather than standing organizational ability.</w:t>
            </w:r>
          </w:p>
        </w:tc>
      </w:tr>
    </w:tbl>
    <w:p/>
    <w:p>
      <w:pPr>
        <w:pStyle w:val="Caption"/>
      </w:pPr>
      <w:r>
        <w:rPr>
          <w:b/>
        </w:rPr>
        <w:t>Table 4. </w:t>
      </w:r>
      <w:r>
        <w:t xml:space="preserve">General Entities -- Retention Assessment.</w:t>
      </w:r>
    </w:p>
    <w:p>
      <w:pPr>
        <w:pStyle w:val="Heading2"/>
      </w:pPr>
      <w:r>
        <w:t xml:space="preserve">2.2 Business Architecture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color="auto" w:fill="1F4E79"/>
            <w:vAlign w:val="center"/>
          </w:tcPr>
          <w:p>
            <w:r>
              <w:rPr>
                <w:b/>
                <w:color w:val="FFFFFF"/>
                <w:sz w:val="19"/>
              </w:rPr>
              <w:t xml:space="preserve">Entity</w:t>
            </w:r>
          </w:p>
        </w:tc>
        <w:tc>
          <w:tcPr>
            <w:tcW w:w="3120" w:type="dxa"/>
            <w:shd w:val="clear" w:color="auto" w:fill="1F4E79"/>
            <w:vAlign w:val="center"/>
          </w:tcPr>
          <w:p>
            <w:r>
              <w:rPr>
                <w:b/>
                <w:color w:val="FFFFFF"/>
                <w:sz w:val="19"/>
              </w:rPr>
              <w:t xml:space="preserve">Decision</w:t>
            </w:r>
          </w:p>
        </w:tc>
        <w:tc>
          <w:tcPr>
            <w:tcW w:w="3120" w:type="dxa"/>
            <w:shd w:val="clear" w:color="auto" w:fill="1F4E79"/>
            <w:vAlign w:val="center"/>
          </w:tcPr>
          <w:p>
            <w:r>
              <w:rPr>
                <w:b/>
                <w:color w:val="FFFFFF"/>
                <w:sz w:val="19"/>
              </w:rPr>
              <w:t xml:space="preserve">Justification</w:t>
            </w:r>
          </w:p>
        </w:tc>
      </w:tr>
      <w:tr>
        <w:tc>
          <w:tcPr>
            <w:tcW w:w="3120" w:type="dxa"/>
            <w:vAlign w:val="center"/>
          </w:tcPr>
          <w:p>
            <w:r>
              <w:rPr>
                <w:sz w:val="19"/>
              </w:rPr>
              <w:t xml:space="preserve">Driver</w:t>
            </w:r>
          </w:p>
        </w:tc>
        <w:tc>
          <w:tcPr>
            <w:tcW w:w="3120" w:type="dxa"/>
            <w:vAlign w:val="center"/>
          </w:tcPr>
          <w:p>
            <w:r>
              <w:rPr>
                <w:sz w:val="19"/>
              </w:rPr>
              <w:t xml:space="preserve">Retain</w:t>
            </w:r>
          </w:p>
        </w:tc>
        <w:tc>
          <w:tcPr>
            <w:tcW w:w="3120" w:type="dxa"/>
            <w:vAlign w:val="center"/>
          </w:tcPr>
          <w:p>
            <w:r>
              <w:rPr>
                <w:sz w:val="19"/>
              </w:rPr>
              <w:t xml:space="preserve">The institutional policy for academic year 2026 to 2027 mandating three mentoring sessions per semester is the catalyst for this engagement. Every architectural decision should trace to it.</w:t>
            </w:r>
          </w:p>
        </w:tc>
      </w:tr>
      <w:tr>
        <w:tc>
          <w:tcPr>
            <w:tcW w:w="3120" w:type="dxa"/>
            <w:vAlign w:val="center"/>
          </w:tcPr>
          <w:p>
            <w:r>
              <w:rPr>
                <w:sz w:val="19"/>
              </w:rPr>
              <w:t xml:space="preserve">Goal</w:t>
            </w:r>
          </w:p>
        </w:tc>
        <w:tc>
          <w:tcPr>
            <w:tcW w:w="3120" w:type="dxa"/>
            <w:vAlign w:val="center"/>
          </w:tcPr>
          <w:p>
            <w:r>
              <w:rPr>
                <w:sz w:val="19"/>
              </w:rPr>
              <w:t xml:space="preserve">Retain</w:t>
            </w:r>
          </w:p>
        </w:tc>
        <w:tc>
          <w:tcPr>
            <w:tcW w:w="3120" w:type="dxa"/>
            <w:vAlign w:val="center"/>
          </w:tcPr>
          <w:p>
            <w:r>
              <w:rPr>
                <w:sz w:val="19"/>
              </w:rPr>
              <w:t xml:space="preserve">Stated directly by both coordinators: that all students undergo mentoring, and that students are able to articulate what mentoring means from their own experience.</w:t>
            </w:r>
          </w:p>
        </w:tc>
      </w:tr>
      <w:tr>
        <w:tc>
          <w:tcPr>
            <w:tcW w:w="3120" w:type="dxa"/>
            <w:vAlign w:val="center"/>
          </w:tcPr>
          <w:p>
            <w:r>
              <w:rPr>
                <w:sz w:val="19"/>
              </w:rPr>
              <w:t xml:space="preserve">Objective</w:t>
            </w:r>
          </w:p>
        </w:tc>
        <w:tc>
          <w:tcPr>
            <w:tcW w:w="3120" w:type="dxa"/>
            <w:vAlign w:val="center"/>
          </w:tcPr>
          <w:p>
            <w:r>
              <w:rPr>
                <w:sz w:val="19"/>
              </w:rPr>
              <w:t xml:space="preserve">Retain</w:t>
            </w:r>
          </w:p>
        </w:tc>
        <w:tc>
          <w:tcPr>
            <w:tcW w:w="3120" w:type="dxa"/>
            <w:vAlign w:val="center"/>
          </w:tcPr>
          <w:p>
            <w:r>
              <w:rPr>
                <w:sz w:val="19"/>
              </w:rPr>
              <w:t xml:space="preserve">The measurable and time bound expression of the goal, namely three logged and confirmed sessions per student per semester.</w:t>
            </w:r>
          </w:p>
        </w:tc>
      </w:tr>
      <w:tr>
        <w:tc>
          <w:tcPr>
            <w:tcW w:w="3120" w:type="dxa"/>
            <w:vAlign w:val="center"/>
          </w:tcPr>
          <w:p>
            <w:r>
              <w:rPr>
                <w:sz w:val="19"/>
              </w:rPr>
              <w:t xml:space="preserve">Measure</w:t>
            </w:r>
          </w:p>
        </w:tc>
        <w:tc>
          <w:tcPr>
            <w:tcW w:w="3120" w:type="dxa"/>
            <w:vAlign w:val="center"/>
          </w:tcPr>
          <w:p>
            <w:r>
              <w:rPr>
                <w:sz w:val="19"/>
              </w:rPr>
              <w:t xml:space="preserve">Retain</w:t>
            </w:r>
          </w:p>
        </w:tc>
        <w:tc>
          <w:tcPr>
            <w:tcW w:w="3120" w:type="dxa"/>
            <w:vAlign w:val="center"/>
          </w:tcPr>
          <w:p>
            <w:r>
              <w:rPr>
                <w:sz w:val="19"/>
              </w:rPr>
              <w:t xml:space="preserve">The unit already reasons in these terms. Compliance figures must reconcile against total enrollment per school, and pairing turnaround presently averages one to two weeks, across a population of approximately 1,500 to 1,600 undergraduate students and roughly 180 mentors.</w:t>
            </w:r>
          </w:p>
        </w:tc>
      </w:tr>
      <w:tr>
        <w:tc>
          <w:tcPr>
            <w:tcW w:w="3120" w:type="dxa"/>
            <w:vAlign w:val="center"/>
          </w:tcPr>
          <w:p>
            <w:r>
              <w:rPr>
                <w:sz w:val="19"/>
              </w:rPr>
              <w:t xml:space="preserve">Course of Action</w:t>
            </w:r>
          </w:p>
        </w:tc>
        <w:tc>
          <w:tcPr>
            <w:tcW w:w="3120" w:type="dxa"/>
            <w:vAlign w:val="center"/>
          </w:tcPr>
          <w:p>
            <w:r>
              <w:rPr>
                <w:sz w:val="19"/>
              </w:rPr>
              <w:t xml:space="preserve">Remove</w:t>
            </w:r>
          </w:p>
        </w:tc>
        <w:tc>
          <w:tcPr>
            <w:tcW w:w="3120" w:type="dxa"/>
            <w:vAlign w:val="center"/>
          </w:tcPr>
          <w:p>
            <w:r>
              <w:rPr>
                <w:sz w:val="19"/>
              </w:rPr>
              <w:t xml:space="preserve">Expresses strategic choices made by the enterprise in pursuit of its goals. Strategy here is determined at Management Committee level, above the architecture boundary, and the unit implements policy rather than setting it. Driver, Goal, and Objective carry the motivational content without this entity.</w:t>
            </w:r>
          </w:p>
        </w:tc>
      </w:tr>
      <w:tr>
        <w:tc>
          <w:tcPr>
            <w:tcW w:w="3120" w:type="dxa"/>
            <w:vAlign w:val="center"/>
          </w:tcPr>
          <w:p>
            <w:r>
              <w:rPr>
                <w:sz w:val="19"/>
              </w:rPr>
              <w:t xml:space="preserve">Product</w:t>
            </w:r>
          </w:p>
        </w:tc>
        <w:tc>
          <w:tcPr>
            <w:tcW w:w="3120" w:type="dxa"/>
            <w:vAlign w:val="center"/>
          </w:tcPr>
          <w:p>
            <w:r>
              <w:rPr>
                <w:sz w:val="19"/>
              </w:rPr>
              <w:t xml:space="preserve">Remove</w:t>
            </w:r>
          </w:p>
        </w:tc>
        <w:tc>
          <w:tcPr>
            <w:tcW w:w="3120" w:type="dxa"/>
            <w:vAlign w:val="center"/>
          </w:tcPr>
          <w:p>
            <w:r>
              <w:rPr>
                <w:sz w:val="19"/>
              </w:rPr>
              <w:t xml:space="preserve">The unit produces no commercial or deliverable product. Mentoring reaches students as a Business Service, which is retained in its place.</w:t>
            </w:r>
          </w:p>
        </w:tc>
      </w:tr>
      <w:tr>
        <w:tc>
          <w:tcPr>
            <w:tcW w:w="3120" w:type="dxa"/>
            <w:vAlign w:val="center"/>
          </w:tcPr>
          <w:p>
            <w:r>
              <w:rPr>
                <w:sz w:val="19"/>
              </w:rPr>
              <w:t xml:space="preserve">Organization Unit</w:t>
            </w:r>
          </w:p>
        </w:tc>
        <w:tc>
          <w:tcPr>
            <w:tcW w:w="3120" w:type="dxa"/>
            <w:vAlign w:val="center"/>
          </w:tcPr>
          <w:p>
            <w:r>
              <w:rPr>
                <w:sz w:val="19"/>
              </w:rPr>
              <w:t xml:space="preserve">Retain</w:t>
            </w:r>
          </w:p>
        </w:tc>
        <w:tc>
          <w:tcPr>
            <w:tcW w:w="3120" w:type="dxa"/>
            <w:vAlign w:val="center"/>
          </w:tcPr>
          <w:p>
            <w:r>
              <w:rPr>
                <w:sz w:val="19"/>
              </w:rPr>
              <w:t xml:space="preserve">The Mentoring Unit and the Center for Student Affairs internally; the school Operations Committees and mentoring coordinators, Information Technology Office, Office of the Registrar, Human Resources, Financial Management and Resources, and the Management Committee as external units within the field of analysis.</w:t>
            </w:r>
          </w:p>
        </w:tc>
      </w:tr>
      <w:tr>
        <w:tc>
          <w:tcPr>
            <w:tcW w:w="3120" w:type="dxa"/>
            <w:vAlign w:val="center"/>
          </w:tcPr>
          <w:p>
            <w:r>
              <w:rPr>
                <w:sz w:val="19"/>
              </w:rPr>
              <w:t xml:space="preserve">Business Capability</w:t>
            </w:r>
          </w:p>
        </w:tc>
        <w:tc>
          <w:tcPr>
            <w:tcW w:w="3120" w:type="dxa"/>
            <w:vAlign w:val="center"/>
          </w:tcPr>
          <w:p>
            <w:r>
              <w:rPr>
                <w:sz w:val="19"/>
              </w:rPr>
              <w:t xml:space="preserve">Retain</w:t>
            </w:r>
          </w:p>
        </w:tc>
        <w:tc>
          <w:tcPr>
            <w:tcW w:w="3120" w:type="dxa"/>
            <w:vAlign w:val="center"/>
          </w:tcPr>
          <w:p>
            <w:r>
              <w:rPr>
                <w:sz w:val="19"/>
              </w:rPr>
              <w:t xml:space="preserve">Four are identifiable from the requirements interview: mentor sourcing and approval, student to mentor pairing, session monitoring and compliance, and program governance.</w:t>
            </w:r>
          </w:p>
        </w:tc>
      </w:tr>
      <w:tr>
        <w:tc>
          <w:tcPr>
            <w:tcW w:w="3120" w:type="dxa"/>
            <w:vAlign w:val="center"/>
          </w:tcPr>
          <w:p>
            <w:r>
              <w:rPr>
                <w:sz w:val="19"/>
              </w:rPr>
              <w:t xml:space="preserve">Value Stream</w:t>
            </w:r>
          </w:p>
        </w:tc>
        <w:tc>
          <w:tcPr>
            <w:tcW w:w="3120" w:type="dxa"/>
            <w:vAlign w:val="center"/>
          </w:tcPr>
          <w:p>
            <w:r>
              <w:rPr>
                <w:sz w:val="19"/>
              </w:rPr>
              <w:t xml:space="preserve">Retain</w:t>
            </w:r>
          </w:p>
        </w:tc>
        <w:tc>
          <w:tcPr>
            <w:tcW w:w="3120" w:type="dxa"/>
            <w:vAlign w:val="center"/>
          </w:tcPr>
          <w:p>
            <w:r>
              <w:rPr>
                <w:sz w:val="19"/>
              </w:rPr>
              <w:t xml:space="preserve">The completion of the mentoring requirement by a student runs from enrollment through pairing, session, logging, mentor confirmation, and compliance determination. This is the sole entity permitting the cross organizational handoffs, where delay actually accumulates, to be represented in a single view. The pairing stage of this stream reflects only the point at which the unit receives and records the schools' finalized pairing decision, not the matching logic itself, consistent with the boundary established in Section 1.5.3.</w:t>
            </w:r>
          </w:p>
        </w:tc>
      </w:tr>
      <w:tr>
        <w:tc>
          <w:tcPr>
            <w:tcW w:w="3120" w:type="dxa"/>
            <w:vAlign w:val="center"/>
          </w:tcPr>
          <w:p>
            <w:r>
              <w:rPr>
                <w:sz w:val="19"/>
              </w:rPr>
              <w:t xml:space="preserve">Business Information</w:t>
            </w:r>
          </w:p>
        </w:tc>
        <w:tc>
          <w:tcPr>
            <w:tcW w:w="3120" w:type="dxa"/>
            <w:vAlign w:val="center"/>
          </w:tcPr>
          <w:p>
            <w:r>
              <w:rPr>
                <w:sz w:val="19"/>
              </w:rPr>
              <w:t xml:space="preserve">Retain</w:t>
            </w:r>
          </w:p>
        </w:tc>
        <w:tc>
          <w:tcPr>
            <w:tcW w:w="3120" w:type="dxa"/>
            <w:vAlign w:val="center"/>
          </w:tcPr>
          <w:p>
            <w:r>
              <w:rPr>
                <w:sz w:val="19"/>
              </w:rPr>
              <w:t xml:space="preserve">Distinct from Data Entity. This entity denotes information as the business discusses it, such as a pairing, a session record, or a compliance status. The distinction is material because the same pairing fact exists concurrently in the unit's register and in each school's own records.</w:t>
            </w:r>
          </w:p>
        </w:tc>
      </w:tr>
      <w:tr>
        <w:tc>
          <w:tcPr>
            <w:tcW w:w="3120" w:type="dxa"/>
            <w:vAlign w:val="center"/>
          </w:tcPr>
          <w:p>
            <w:r>
              <w:rPr>
                <w:sz w:val="19"/>
              </w:rPr>
              <w:t xml:space="preserve">Function</w:t>
            </w:r>
          </w:p>
        </w:tc>
        <w:tc>
          <w:tcPr>
            <w:tcW w:w="3120" w:type="dxa"/>
            <w:vAlign w:val="center"/>
          </w:tcPr>
          <w:p>
            <w:r>
              <w:rPr>
                <w:sz w:val="19"/>
              </w:rPr>
              <w:t xml:space="preserve">Remove</w:t>
            </w:r>
          </w:p>
        </w:tc>
        <w:tc>
          <w:tcPr>
            <w:tcW w:w="3120" w:type="dxa"/>
            <w:vAlign w:val="center"/>
          </w:tcPr>
          <w:p>
            <w:r>
              <w:rPr>
                <w:sz w:val="19"/>
              </w:rPr>
              <w:t xml:space="preserve">Substantially overlaps Business Capability. Maintaining both a function hierarchy and a capability map within a two person unit produces duplicate structures without analytical gain, and capability is the more serviceable lens for roadmapping.</w:t>
            </w:r>
          </w:p>
        </w:tc>
      </w:tr>
      <w:tr>
        <w:tc>
          <w:tcPr>
            <w:tcW w:w="3120" w:type="dxa"/>
            <w:vAlign w:val="center"/>
          </w:tcPr>
          <w:p>
            <w:r>
              <w:rPr>
                <w:sz w:val="19"/>
              </w:rPr>
              <w:t xml:space="preserve">Actor</w:t>
            </w:r>
          </w:p>
        </w:tc>
        <w:tc>
          <w:tcPr>
            <w:tcW w:w="3120" w:type="dxa"/>
            <w:vAlign w:val="center"/>
          </w:tcPr>
          <w:p>
            <w:r>
              <w:rPr>
                <w:sz w:val="19"/>
              </w:rPr>
              <w:t xml:space="preserve">Retain</w:t>
            </w:r>
          </w:p>
        </w:tc>
        <w:tc>
          <w:tcPr>
            <w:tcW w:w="3120" w:type="dxa"/>
            <w:vAlign w:val="center"/>
          </w:tcPr>
          <w:p>
            <w:r>
              <w:rPr>
                <w:sz w:val="19"/>
              </w:rPr>
              <w:t xml:space="preserve">Student or mentee, mentor whether faculty, staff, or external, school mentoring coordinator, operations coordinator, Executive Director, and Information Technology officer.</w:t>
            </w:r>
          </w:p>
        </w:tc>
      </w:tr>
      <w:tr>
        <w:tc>
          <w:tcPr>
            <w:tcW w:w="3120" w:type="dxa"/>
            <w:vAlign w:val="center"/>
          </w:tcPr>
          <w:p>
            <w:r>
              <w:rPr>
                <w:sz w:val="19"/>
              </w:rPr>
              <w:t xml:space="preserve">Role</w:t>
            </w:r>
          </w:p>
        </w:tc>
        <w:tc>
          <w:tcPr>
            <w:tcW w:w="3120" w:type="dxa"/>
            <w:vAlign w:val="center"/>
          </w:tcPr>
          <w:p>
            <w:r>
              <w:rPr>
                <w:sz w:val="19"/>
              </w:rPr>
              <w:t xml:space="preserve">Retain</w:t>
            </w:r>
          </w:p>
        </w:tc>
        <w:tc>
          <w:tcPr>
            <w:tcW w:w="3120" w:type="dxa"/>
            <w:vAlign w:val="center"/>
          </w:tcPr>
          <w:p>
            <w:r>
              <w:rPr>
                <w:sz w:val="19"/>
              </w:rPr>
              <w:t xml:space="preserve">Retained separately from Actor because individuals here routinely occupy several roles. A faculty member may serve simultaneously as a mentor and as a school mentoring coordinator. The RACI matrix in Section 1.8 is likewise expressed in roles rather than named individuals.</w:t>
            </w:r>
          </w:p>
        </w:tc>
      </w:tr>
      <w:tr>
        <w:tc>
          <w:tcPr>
            <w:tcW w:w="3120" w:type="dxa"/>
            <w:vAlign w:val="center"/>
          </w:tcPr>
          <w:p>
            <w:r>
              <w:rPr>
                <w:sz w:val="19"/>
              </w:rPr>
              <w:t xml:space="preserve">Process</w:t>
            </w:r>
          </w:p>
        </w:tc>
        <w:tc>
          <w:tcPr>
            <w:tcW w:w="3120" w:type="dxa"/>
            <w:vAlign w:val="center"/>
          </w:tcPr>
          <w:p>
            <w:r>
              <w:rPr>
                <w:sz w:val="19"/>
              </w:rPr>
              <w:t xml:space="preserve">Retain</w:t>
            </w:r>
          </w:p>
        </w:tc>
        <w:tc>
          <w:tcPr>
            <w:tcW w:w="3120" w:type="dxa"/>
            <w:vAlign w:val="center"/>
          </w:tcPr>
          <w:p>
            <w:r>
              <w:rPr>
                <w:sz w:val="19"/>
              </w:rPr>
              <w:t xml:space="preserve">Pairing, change of mentor, session logging and confirmation, follow up status handling, and external mentor contracting are each distinct and describable processes.</w:t>
            </w:r>
          </w:p>
        </w:tc>
      </w:tr>
      <w:tr>
        <w:tc>
          <w:tcPr>
            <w:tcW w:w="3120" w:type="dxa"/>
            <w:vAlign w:val="center"/>
          </w:tcPr>
          <w:p>
            <w:r>
              <w:rPr>
                <w:sz w:val="19"/>
              </w:rPr>
              <w:t xml:space="preserve">Control</w:t>
            </w:r>
          </w:p>
        </w:tc>
        <w:tc>
          <w:tcPr>
            <w:tcW w:w="3120" w:type="dxa"/>
            <w:vAlign w:val="center"/>
          </w:tcPr>
          <w:p>
            <w:r>
              <w:rPr>
                <w:sz w:val="19"/>
              </w:rPr>
              <w:t xml:space="preserve">Retain</w:t>
            </w:r>
          </w:p>
        </w:tc>
        <w:tc>
          <w:tcPr>
            <w:tcW w:w="3120" w:type="dxa"/>
            <w:vAlign w:val="center"/>
          </w:tcPr>
          <w:p>
            <w:r>
              <w:rPr>
                <w:sz w:val="19"/>
              </w:rPr>
              <w:t xml:space="preserve">The compliance chain rests entirely on these: mentor confirmation of each logged session, the separate administrative copy guarding against accidental alteration of a shared record, follow up status, the consequence for enrollment eligibility after two consecutive semesters, and the Executive Director approval gate. The unit's governance complexity resides here rather than in its headcount.</w:t>
            </w:r>
          </w:p>
        </w:tc>
      </w:tr>
      <w:tr>
        <w:tc>
          <w:tcPr>
            <w:tcW w:w="3120" w:type="dxa"/>
            <w:vAlign w:val="center"/>
          </w:tcPr>
          <w:p>
            <w:r>
              <w:rPr>
                <w:sz w:val="19"/>
              </w:rPr>
              <w:t xml:space="preserve">Event</w:t>
            </w:r>
          </w:p>
        </w:tc>
        <w:tc>
          <w:tcPr>
            <w:tcW w:w="3120" w:type="dxa"/>
            <w:vAlign w:val="center"/>
          </w:tcPr>
          <w:p>
            <w:r>
              <w:rPr>
                <w:sz w:val="19"/>
              </w:rPr>
              <w:t xml:space="preserve">Retain</w:t>
            </w:r>
          </w:p>
        </w:tc>
        <w:tc>
          <w:tcPr>
            <w:tcW w:w="3120" w:type="dxa"/>
            <w:vAlign w:val="center"/>
          </w:tcPr>
          <w:p>
            <w:r>
              <w:rPr>
                <w:sz w:val="19"/>
              </w:rPr>
              <w:t xml:space="preserve">The operation is trigger driven. Enrollment list finalized, semester commenced, session logged, mentor confirmation received, and end of semester compliance determination are each events to which the architecture responds.</w:t>
            </w:r>
          </w:p>
        </w:tc>
      </w:tr>
      <w:tr>
        <w:tc>
          <w:tcPr>
            <w:tcW w:w="3120" w:type="dxa"/>
            <w:vAlign w:val="center"/>
          </w:tcPr>
          <w:p>
            <w:r>
              <w:rPr>
                <w:sz w:val="19"/>
              </w:rPr>
              <w:t xml:space="preserve">Service Quality</w:t>
            </w:r>
          </w:p>
        </w:tc>
        <w:tc>
          <w:tcPr>
            <w:tcW w:w="3120" w:type="dxa"/>
            <w:vAlign w:val="center"/>
          </w:tcPr>
          <w:p>
            <w:r>
              <w:rPr>
                <w:sz w:val="19"/>
              </w:rPr>
              <w:t xml:space="preserve">Remove</w:t>
            </w:r>
          </w:p>
        </w:tc>
        <w:tc>
          <w:tcPr>
            <w:tcW w:w="3120" w:type="dxa"/>
            <w:vAlign w:val="center"/>
          </w:tcPr>
          <w:p>
            <w:r>
              <w:rPr>
                <w:sz w:val="19"/>
              </w:rPr>
              <w:t xml:space="preserve">Expresses service levels and non functional commitments, none of which the unit owns. Platform availability is the responsibility of the provider and of the Information Technology Office, and no internal service levels were described. Pairing turnaround is captured as a Measure instead.</w:t>
            </w:r>
          </w:p>
        </w:tc>
      </w:tr>
      <w:tr>
        <w:tc>
          <w:tcPr>
            <w:tcW w:w="3120" w:type="dxa"/>
            <w:vAlign w:val="center"/>
          </w:tcPr>
          <w:p>
            <w:r>
              <w:rPr>
                <w:sz w:val="19"/>
              </w:rPr>
              <w:t xml:space="preserve">Contract</w:t>
            </w:r>
          </w:p>
        </w:tc>
        <w:tc>
          <w:tcPr>
            <w:tcW w:w="3120" w:type="dxa"/>
            <w:vAlign w:val="center"/>
          </w:tcPr>
          <w:p>
            <w:r>
              <w:rPr>
                <w:sz w:val="19"/>
              </w:rPr>
              <w:t xml:space="preserve">Retain</w:t>
            </w:r>
          </w:p>
        </w:tc>
        <w:tc>
          <w:tcPr>
            <w:tcW w:w="3120" w:type="dxa"/>
            <w:vAlign w:val="center"/>
          </w:tcPr>
          <w:p>
            <w:r>
              <w:rPr>
                <w:sz w:val="19"/>
              </w:rPr>
              <w:t xml:space="preserve">External mentors hold contracts administered by Human Resources with allowances administered by Financial Management and Resources. These determine whether a mentor may be paired at all, and both offices are named interfaces within the boundary.</w:t>
            </w:r>
          </w:p>
        </w:tc>
      </w:tr>
      <w:tr>
        <w:tc>
          <w:tcPr>
            <w:tcW w:w="3120" w:type="dxa"/>
            <w:vAlign w:val="center"/>
          </w:tcPr>
          <w:p>
            <w:r>
              <w:rPr>
                <w:sz w:val="19"/>
              </w:rPr>
              <w:t xml:space="preserve">Business Service</w:t>
            </w:r>
          </w:p>
        </w:tc>
        <w:tc>
          <w:tcPr>
            <w:tcW w:w="3120" w:type="dxa"/>
            <w:vAlign w:val="center"/>
          </w:tcPr>
          <w:p>
            <w:r>
              <w:rPr>
                <w:sz w:val="19"/>
              </w:rPr>
              <w:t xml:space="preserve">Retain</w:t>
            </w:r>
          </w:p>
        </w:tc>
        <w:tc>
          <w:tcPr>
            <w:tcW w:w="3120" w:type="dxa"/>
            <w:vAlign w:val="center"/>
          </w:tcPr>
          <w:p>
            <w:r>
              <w:rPr>
                <w:sz w:val="19"/>
              </w:rPr>
              <w:t xml:space="preserve">Mentoring is delivered to students as a service, and the unit in turn consumes services from the Information Technology Office, the Office of the Registrar, Human Resources, and Financial Management and Resources.</w:t>
            </w:r>
          </w:p>
        </w:tc>
      </w:tr>
    </w:tbl>
    <w:p/>
    <w:p>
      <w:pPr>
        <w:pStyle w:val="Caption"/>
      </w:pPr>
      <w:r>
        <w:rPr>
          <w:b/>
        </w:rPr>
        <w:t>Table 5. </w:t>
      </w:r>
      <w:r>
        <w:t xml:space="preserve">Business Architecture Entities -- Retention Assessment.</w:t>
      </w:r>
    </w:p>
    <w:p>
      <w:pPr>
        <w:pStyle w:val="Heading2"/>
      </w:pPr>
      <w:r>
        <w:t xml:space="preserve">2.3 Data Architecture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color="auto" w:fill="1F4E79"/>
            <w:vAlign w:val="center"/>
          </w:tcPr>
          <w:p>
            <w:r>
              <w:rPr>
                <w:b/>
                <w:color w:val="FFFFFF"/>
                <w:sz w:val="19"/>
              </w:rPr>
              <w:t xml:space="preserve">Entity</w:t>
            </w:r>
          </w:p>
        </w:tc>
        <w:tc>
          <w:tcPr>
            <w:tcW w:w="3120" w:type="dxa"/>
            <w:shd w:val="clear" w:color="auto" w:fill="1F4E79"/>
            <w:vAlign w:val="center"/>
          </w:tcPr>
          <w:p>
            <w:r>
              <w:rPr>
                <w:b/>
                <w:color w:val="FFFFFF"/>
                <w:sz w:val="19"/>
              </w:rPr>
              <w:t xml:space="preserve">Decision</w:t>
            </w:r>
          </w:p>
        </w:tc>
        <w:tc>
          <w:tcPr>
            <w:tcW w:w="3120" w:type="dxa"/>
            <w:shd w:val="clear" w:color="auto" w:fill="1F4E79"/>
            <w:vAlign w:val="center"/>
          </w:tcPr>
          <w:p>
            <w:r>
              <w:rPr>
                <w:b/>
                <w:color w:val="FFFFFF"/>
                <w:sz w:val="19"/>
              </w:rPr>
              <w:t xml:space="preserve">Justification</w:t>
            </w:r>
          </w:p>
        </w:tc>
      </w:tr>
      <w:tr>
        <w:tc>
          <w:tcPr>
            <w:tcW w:w="3120" w:type="dxa"/>
            <w:vAlign w:val="center"/>
          </w:tcPr>
          <w:p>
            <w:r>
              <w:rPr>
                <w:sz w:val="19"/>
              </w:rPr>
              <w:t xml:space="preserve">Data Entity</w:t>
            </w:r>
          </w:p>
        </w:tc>
        <w:tc>
          <w:tcPr>
            <w:tcW w:w="3120" w:type="dxa"/>
            <w:vAlign w:val="center"/>
          </w:tcPr>
          <w:p>
            <w:r>
              <w:rPr>
                <w:sz w:val="19"/>
              </w:rPr>
              <w:t xml:space="preserve">Retain</w:t>
            </w:r>
          </w:p>
        </w:tc>
        <w:tc>
          <w:tcPr>
            <w:tcW w:w="3120" w:type="dxa"/>
            <w:vAlign w:val="center"/>
          </w:tcPr>
          <w:p>
            <w:r>
              <w:rPr>
                <w:sz w:val="19"/>
              </w:rPr>
              <w:t xml:space="preserve">The unit maintains identifiable data subjects including Student, Mentor, School, Pairing, Session Log, Mentor Confirmation, Approved Mentor List, Enrollment Record, and External Mentor Contract. Accuracy and consistency of these entities across the offices processing them was identified as the unit's foremost data concern.</w:t>
            </w:r>
          </w:p>
        </w:tc>
      </w:tr>
      <w:tr>
        <w:tc>
          <w:tcPr>
            <w:tcW w:w="3120" w:type="dxa"/>
            <w:vAlign w:val="center"/>
          </w:tcPr>
          <w:p>
            <w:r>
              <w:rPr>
                <w:sz w:val="19"/>
              </w:rPr>
              <w:t xml:space="preserve">Logical Data Component</w:t>
            </w:r>
          </w:p>
        </w:tc>
        <w:tc>
          <w:tcPr>
            <w:tcW w:w="3120" w:type="dxa"/>
            <w:vAlign w:val="center"/>
          </w:tcPr>
          <w:p>
            <w:r>
              <w:rPr>
                <w:sz w:val="19"/>
              </w:rPr>
              <w:t xml:space="preserve">Retain</w:t>
            </w:r>
          </w:p>
        </w:tc>
        <w:tc>
          <w:tcPr>
            <w:tcW w:w="3120" w:type="dxa"/>
            <w:vAlign w:val="center"/>
          </w:tcPr>
          <w:p>
            <w:r>
              <w:rPr>
                <w:sz w:val="19"/>
              </w:rPr>
              <w:t xml:space="preserve">Three logical groupings are distinguishable irrespective of the products holding them: a pairing register, a session response store, and an administrative confirmation archive. The distinction is necessary because the unit has expressed an intention to connect the first two, which is a change at the logical level rather than a change of product.</w:t>
            </w:r>
          </w:p>
        </w:tc>
      </w:tr>
      <w:tr>
        <w:tc>
          <w:tcPr>
            <w:tcW w:w="3120" w:type="dxa"/>
            <w:vAlign w:val="center"/>
          </w:tcPr>
          <w:p>
            <w:r>
              <w:rPr>
                <w:sz w:val="19"/>
              </w:rPr>
              <w:t xml:space="preserve">Physical Data Component</w:t>
            </w:r>
          </w:p>
        </w:tc>
        <w:tc>
          <w:tcPr>
            <w:tcW w:w="3120" w:type="dxa"/>
            <w:vAlign w:val="center"/>
          </w:tcPr>
          <w:p>
            <w:r>
              <w:rPr>
                <w:sz w:val="19"/>
              </w:rPr>
              <w:t xml:space="preserve">Retain</w:t>
            </w:r>
          </w:p>
        </w:tc>
        <w:tc>
          <w:tcPr>
            <w:tcW w:w="3120" w:type="dxa"/>
            <w:vAlign w:val="center"/>
          </w:tcPr>
          <w:p>
            <w:r>
              <w:rPr>
                <w:sz w:val="19"/>
              </w:rPr>
              <w:t xml:space="preserve">The current implementation places these groupings in separate spreadsheets, one generated by the session logging form and one maintained manually. The absence of an interface between them is the clearest gap in the present architecture and cannot be expressed without a physical level.</w:t>
            </w:r>
          </w:p>
        </w:tc>
      </w:tr>
    </w:tbl>
    <w:p/>
    <w:p>
      <w:pPr>
        <w:pStyle w:val="Caption"/>
      </w:pPr>
      <w:r>
        <w:rPr>
          <w:b/>
        </w:rPr>
        <w:t>Table 6. </w:t>
      </w:r>
      <w:r>
        <w:t xml:space="preserve">Data Architecture Entities -- Retention Assessment.</w:t>
      </w:r>
    </w:p>
    <w:p>
      <w:pPr>
        <w:pStyle w:val="Heading2"/>
      </w:pPr>
      <w:r>
        <w:t xml:space="preserve">2.4 Application Architecture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color="auto" w:fill="1F4E79"/>
            <w:vAlign w:val="center"/>
          </w:tcPr>
          <w:p>
            <w:r>
              <w:rPr>
                <w:b/>
                <w:color w:val="FFFFFF"/>
                <w:sz w:val="19"/>
              </w:rPr>
              <w:t xml:space="preserve">Entity</w:t>
            </w:r>
          </w:p>
        </w:tc>
        <w:tc>
          <w:tcPr>
            <w:tcW w:w="3120" w:type="dxa"/>
            <w:shd w:val="clear" w:color="auto" w:fill="1F4E79"/>
            <w:vAlign w:val="center"/>
          </w:tcPr>
          <w:p>
            <w:r>
              <w:rPr>
                <w:b/>
                <w:color w:val="FFFFFF"/>
                <w:sz w:val="19"/>
              </w:rPr>
              <w:t xml:space="preserve">Decision</w:t>
            </w:r>
          </w:p>
        </w:tc>
        <w:tc>
          <w:tcPr>
            <w:tcW w:w="3120" w:type="dxa"/>
            <w:shd w:val="clear" w:color="auto" w:fill="1F4E79"/>
            <w:vAlign w:val="center"/>
          </w:tcPr>
          <w:p>
            <w:r>
              <w:rPr>
                <w:b/>
                <w:color w:val="FFFFFF"/>
                <w:sz w:val="19"/>
              </w:rPr>
              <w:t xml:space="preserve">Justification</w:t>
            </w:r>
          </w:p>
        </w:tc>
      </w:tr>
      <w:tr>
        <w:tc>
          <w:tcPr>
            <w:tcW w:w="3120" w:type="dxa"/>
            <w:vAlign w:val="center"/>
          </w:tcPr>
          <w:p>
            <w:r>
              <w:rPr>
                <w:sz w:val="19"/>
              </w:rPr>
              <w:t xml:space="preserve">Application Service</w:t>
            </w:r>
          </w:p>
        </w:tc>
        <w:tc>
          <w:tcPr>
            <w:tcW w:w="3120" w:type="dxa"/>
            <w:vAlign w:val="center"/>
          </w:tcPr>
          <w:p>
            <w:r>
              <w:rPr>
                <w:sz w:val="19"/>
              </w:rPr>
              <w:t xml:space="preserve">Retain</w:t>
            </w:r>
          </w:p>
        </w:tc>
        <w:tc>
          <w:tcPr>
            <w:tcW w:w="3120" w:type="dxa"/>
            <w:vAlign w:val="center"/>
          </w:tcPr>
          <w:p>
            <w:r>
              <w:rPr>
                <w:sz w:val="19"/>
              </w:rPr>
              <w:t xml:space="preserve">The unit consumes and provides discrete application services including session submission, automated mentor notification, confirmation capture, and administrative reporting. These are the points at which the compliance process becomes automated and are therefore central to any later assessment of the monitoring capability.</w:t>
            </w:r>
          </w:p>
        </w:tc>
      </w:tr>
      <w:tr>
        <w:tc>
          <w:tcPr>
            <w:tcW w:w="3120" w:type="dxa"/>
            <w:vAlign w:val="center"/>
          </w:tcPr>
          <w:p>
            <w:r>
              <w:rPr>
                <w:sz w:val="19"/>
              </w:rPr>
              <w:t xml:space="preserve">Logical Application Component</w:t>
            </w:r>
          </w:p>
        </w:tc>
        <w:tc>
          <w:tcPr>
            <w:tcW w:w="3120" w:type="dxa"/>
            <w:vAlign w:val="center"/>
          </w:tcPr>
          <w:p>
            <w:r>
              <w:rPr>
                <w:sz w:val="19"/>
              </w:rPr>
              <w:t xml:space="preserve">Retain</w:t>
            </w:r>
          </w:p>
        </w:tc>
        <w:tc>
          <w:tcPr>
            <w:tcW w:w="3120" w:type="dxa"/>
            <w:vAlign w:val="center"/>
          </w:tcPr>
          <w:p>
            <w:r>
              <w:rPr>
                <w:sz w:val="19"/>
              </w:rPr>
              <w:t xml:space="preserve">The functions performed are describable independently of the products performing them, namely session capture, notification dispatch, confirmation handling, and record storage. Such description is required in order to evaluate alternative implementations in Phase E without presupposing the current toolset.</w:t>
            </w:r>
          </w:p>
        </w:tc>
      </w:tr>
      <w:tr>
        <w:tc>
          <w:tcPr>
            <w:tcW w:w="3120" w:type="dxa"/>
            <w:vAlign w:val="center"/>
          </w:tcPr>
          <w:p>
            <w:r>
              <w:rPr>
                <w:sz w:val="19"/>
              </w:rPr>
              <w:t xml:space="preserve">Physical Application Component</w:t>
            </w:r>
          </w:p>
        </w:tc>
        <w:tc>
          <w:tcPr>
            <w:tcW w:w="3120" w:type="dxa"/>
            <w:vAlign w:val="center"/>
          </w:tcPr>
          <w:p>
            <w:r>
              <w:rPr>
                <w:sz w:val="19"/>
              </w:rPr>
              <w:t xml:space="preserve">Retain</w:t>
            </w:r>
          </w:p>
        </w:tc>
        <w:tc>
          <w:tcPr>
            <w:tcW w:w="3120" w:type="dxa"/>
            <w:vAlign w:val="center"/>
          </w:tcPr>
          <w:p>
            <w:r>
              <w:rPr>
                <w:sz w:val="19"/>
              </w:rPr>
              <w:t xml:space="preserve">The present implementation comprises a web form, a scripting routine generating and processing confirmation messages, an electronic mail service as the transport for mentor confirmation, and a spreadsheet as the response store. Naming these is necessary because the confirmation workflow depends upon their specific behavior, and because the unit does not configure them directly.</w:t>
            </w:r>
          </w:p>
        </w:tc>
      </w:tr>
    </w:tbl>
    <w:p/>
    <w:p>
      <w:pPr>
        <w:pStyle w:val="Caption"/>
      </w:pPr>
      <w:r>
        <w:rPr>
          <w:b/>
        </w:rPr>
        <w:t>Table 7. </w:t>
      </w:r>
      <w:r>
        <w:t xml:space="preserve">Application Architecture Entities -- Retention Assessment.</w:t>
      </w:r>
    </w:p>
    <w:p>
      <w:pPr>
        <w:pStyle w:val="Heading2"/>
      </w:pPr>
      <w:r>
        <w:t xml:space="preserve">2.5 Technology Architecture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shd w:val="clear" w:color="auto" w:fill="1F4E79"/>
            <w:vAlign w:val="center"/>
          </w:tcPr>
          <w:p>
            <w:r>
              <w:rPr>
                <w:b/>
                <w:color w:val="FFFFFF"/>
                <w:sz w:val="19"/>
              </w:rPr>
              <w:t xml:space="preserve">Entity</w:t>
            </w:r>
          </w:p>
        </w:tc>
        <w:tc>
          <w:tcPr>
            <w:tcW w:w="3120" w:type="dxa"/>
            <w:shd w:val="clear" w:color="auto" w:fill="1F4E79"/>
            <w:vAlign w:val="center"/>
          </w:tcPr>
          <w:p>
            <w:r>
              <w:rPr>
                <w:b/>
                <w:color w:val="FFFFFF"/>
                <w:sz w:val="19"/>
              </w:rPr>
              <w:t xml:space="preserve">Decision</w:t>
            </w:r>
          </w:p>
        </w:tc>
        <w:tc>
          <w:tcPr>
            <w:tcW w:w="3120" w:type="dxa"/>
            <w:shd w:val="clear" w:color="auto" w:fill="1F4E79"/>
            <w:vAlign w:val="center"/>
          </w:tcPr>
          <w:p>
            <w:r>
              <w:rPr>
                <w:b/>
                <w:color w:val="FFFFFF"/>
                <w:sz w:val="19"/>
              </w:rPr>
              <w:t xml:space="preserve">Justification</w:t>
            </w:r>
          </w:p>
        </w:tc>
      </w:tr>
      <w:tr>
        <w:tc>
          <w:tcPr>
            <w:tcW w:w="3120" w:type="dxa"/>
            <w:vAlign w:val="center"/>
          </w:tcPr>
          <w:p>
            <w:r>
              <w:rPr>
                <w:sz w:val="19"/>
              </w:rPr>
              <w:t xml:space="preserve">Technology Service</w:t>
            </w:r>
          </w:p>
        </w:tc>
        <w:tc>
          <w:tcPr>
            <w:tcW w:w="3120" w:type="dxa"/>
            <w:vAlign w:val="center"/>
          </w:tcPr>
          <w:p>
            <w:r>
              <w:rPr>
                <w:sz w:val="19"/>
              </w:rPr>
              <w:t xml:space="preserve">Retain</w:t>
            </w:r>
          </w:p>
        </w:tc>
        <w:tc>
          <w:tcPr>
            <w:tcW w:w="3120" w:type="dxa"/>
            <w:vAlign w:val="center"/>
          </w:tcPr>
          <w:p>
            <w:r>
              <w:rPr>
                <w:sz w:val="19"/>
              </w:rPr>
              <w:t xml:space="preserve">Although the unit owns no infrastructure, it depends upon externally provisioned platform services for identity, messaging, document storage, and script execution. The Information Technology Office provisions and administers these services on the unit's behalf, which constitutes an architecturally significant dependency and a named interface within the boundary.</w:t>
            </w:r>
          </w:p>
        </w:tc>
      </w:tr>
      <w:tr>
        <w:tc>
          <w:tcPr>
            <w:tcW w:w="3120" w:type="dxa"/>
            <w:vAlign w:val="center"/>
          </w:tcPr>
          <w:p>
            <w:r>
              <w:rPr>
                <w:sz w:val="19"/>
              </w:rPr>
              <w:t xml:space="preserve">Logical Technology Component</w:t>
            </w:r>
          </w:p>
        </w:tc>
        <w:tc>
          <w:tcPr>
            <w:tcW w:w="3120" w:type="dxa"/>
            <w:vAlign w:val="center"/>
          </w:tcPr>
          <w:p>
            <w:r>
              <w:rPr>
                <w:sz w:val="19"/>
              </w:rPr>
              <w:t xml:space="preserve">Remove</w:t>
            </w:r>
          </w:p>
        </w:tc>
        <w:tc>
          <w:tcPr>
            <w:tcW w:w="3120" w:type="dxa"/>
            <w:vAlign w:val="center"/>
          </w:tcPr>
          <w:p>
            <w:r>
              <w:rPr>
                <w:sz w:val="19"/>
              </w:rPr>
              <w:t xml:space="preserve">The unit specifies no platform requirements and holds no authority over platform selection, which is determined at institutional level. Modeling logical technology components would describe decisions taken outside the architecture boundary.</w:t>
            </w:r>
          </w:p>
        </w:tc>
      </w:tr>
      <w:tr>
        <w:tc>
          <w:tcPr>
            <w:tcW w:w="3120" w:type="dxa"/>
            <w:vAlign w:val="center"/>
          </w:tcPr>
          <w:p>
            <w:r>
              <w:rPr>
                <w:sz w:val="19"/>
              </w:rPr>
              <w:t xml:space="preserve">Physical Technology Component</w:t>
            </w:r>
          </w:p>
        </w:tc>
        <w:tc>
          <w:tcPr>
            <w:tcW w:w="3120" w:type="dxa"/>
            <w:vAlign w:val="center"/>
          </w:tcPr>
          <w:p>
            <w:r>
              <w:rPr>
                <w:sz w:val="19"/>
              </w:rPr>
              <w:t xml:space="preserve">Remove</w:t>
            </w:r>
          </w:p>
        </w:tc>
        <w:tc>
          <w:tcPr>
            <w:tcW w:w="3120" w:type="dxa"/>
            <w:vAlign w:val="center"/>
          </w:tcPr>
          <w:p>
            <w:r>
              <w:rPr>
                <w:sz w:val="19"/>
              </w:rPr>
              <w:t xml:space="preserve">No servers, networks, or infrastructure assets are owned or administered by the unit or by the Center for Student Affairs. All computing resources are delivered as software as a service, and the physical realization of those services is neither visible to nor governable by the enterprise under study.</w:t>
            </w:r>
          </w:p>
        </w:tc>
      </w:tr>
    </w:tbl>
    <w:p/>
    <w:p>
      <w:pPr>
        <w:pStyle w:val="Caption"/>
      </w:pPr>
      <w:r>
        <w:rPr>
          <w:b/>
        </w:rPr>
        <w:t>Table 8. </w:t>
      </w:r>
      <w:r>
        <w:t xml:space="preserve">Technology Architecture Entities -- Retention Assessment.</w:t>
      </w:r>
    </w:p>
    <w:p>
      <w:pPr>
        <w:pStyle w:val="Heading2"/>
      </w:pPr>
      <w:r>
        <w:t xml:space="preserve">2.6 Summary of Retention</w:t>
      </w:r>
    </w:p>
    <w:p>
      <w:pPr>
        <w:pStyle w:val="Normal"/>
      </w:pPr>
      <w:r>
        <w:t xml:space="preserve">Of the thirty-six entity types assessed, twenty-nine are retained and seven removed. The removals comprise Location, Course of Action, Product, Function, Service Quality, Logical Technology Component, and Physical Technology Component. The retained model is represented in Figure 2.</w:t>
      </w:r>
    </w:p>
    <w:p>
      <w:r>
        <w:br w:type="page"/>
      </w:r>
    </w:p>
    <w:p>
      <w:pPr>
        <w:jc w:val="center"/>
      </w:pPr>
      <w:r>
        <w:drawing>
          <wp:inline xmlns:wp="http://schemas.openxmlformats.org/drawingml/2006/wordprocessingDrawing" distT="0" distB="0" distL="0" distR="0">
            <wp:extent cx="5943600" cy="6859669"/>
            <wp:docPr id="1" name="Figure2"/>
            <a:graphic xmlns:a="http://schemas.openxmlformats.org/drawingml/2006/main">
              <a:graphicData uri="http://schemas.openxmlformats.org/drawingml/2006/picture">
                <pic:pic xmlns:pic="http://schemas.openxmlformats.org/drawingml/2006/picture">
                  <pic:nvPicPr>
                    <pic:cNvPr id="1" name="Figure2.png"/>
                    <pic:cNvPicPr/>
                  </pic:nvPicPr>
                  <pic:blipFill>
                    <a:blip xmlns:r="http://schemas.openxmlformats.org/officeDocument/2006/relationships" r:embed="rId3"/>
                    <a:stretch>
                      <a:fillRect/>
                    </a:stretch>
                  </pic:blipFill>
                  <pic:spPr>
                    <a:xfrm>
                      <a:off x="0" y="0"/>
                      <a:ext cx="5943600" cy="6859669"/>
                    </a:xfrm>
                    <a:prstGeom prst="rect">
                      <a:avLst/>
                    </a:prstGeom>
                  </pic:spPr>
                </pic:pic>
              </a:graphicData>
            </a:graphic>
          </wp:inline>
        </w:drawing>
      </w:r>
    </w:p>
    <w:p>
      <w:pPr>
        <w:pStyle w:val="Caption"/>
      </w:pPr>
      <w:r>
        <w:rPr>
          <w:b/>
        </w:rPr>
        <w:t>Figure 2. </w:t>
      </w:r>
      <w:r>
        <w:t xml:space="preserve">Tailored enterprise metamodel for the Mentoring Unit, derived from the TOGAF Core Enterprise Metamodel (The Open Group, 2022, Figure 3-8).</w:t>
      </w:r>
    </w:p>
    <w:p>
      <w:r>
        <w:br w:type="page"/>
      </w:r>
    </w:p>
    <w:p>
      <w:pPr>
        <w:pStyle w:val="Heading1"/>
      </w:pPr>
      <w:r>
        <w:t xml:space="preserve">3. Tailoring Rationale</w:t>
      </w:r>
    </w:p>
    <w:p>
      <w:pPr>
        <w:pStyle w:val="Heading2"/>
      </w:pPr>
      <w:r>
        <w:t xml:space="preserve">3.1 Architecture Scope Assumption</w:t>
      </w:r>
    </w:p>
    <w:p>
      <w:pPr>
        <w:pStyle w:val="Normal"/>
      </w:pPr>
      <w:r>
        <w:t xml:space="preserve">The tailored metamodel presented in Section 2 assumes an architecture boundary encompassing the Mentoring Unit of the Center for Student Affairs together with the offices with which it directly exchanges information or authority, namely the school Operations Committees and mentoring coordinators, the Information Technology Office, the Office of the Registrar, Human Resources, Financial Management and Resources, and the governance chain extending through the Executive Director to the Management Committee. Offices lying outside the unit's authority are represented as external organizational units, present within the field of analysis but excluded from redesign. This assumption is stated explicitly because the boundary is formally established in Section 1, and any variation there requires a corresponding adjustment here.</w:t>
      </w:r>
    </w:p>
    <w:p>
      <w:pPr>
        <w:pStyle w:val="Heading2"/>
      </w:pPr>
      <w:r>
        <w:t xml:space="preserve">3.2 Criteria for Retention and Removal</w:t>
      </w:r>
    </w:p>
    <w:p>
      <w:pPr>
        <w:pStyle w:val="Normal"/>
      </w:pPr>
      <w:r>
        <w:t xml:space="preserve">Tailoring proceeded from the Core Enterprise Metamodel (The Open Group, 2022, Figure 3-8), which the standard describes as a foundation level starting set rather than a prescriptive schema, noting that the entities relevant to an enterprise and the relationships between them are specific to that enterprise. Each of the thirty-six entity types was assessed against three tests. An entity was retained where identifiable instances of it exist within the boundary, where it bears upon a concern raised by stakeholders during the requirements interview, or where it is required to construct an artifact committed to in the tailored content framework. Removal required an entity to fail all three tests. This threshold is deliberately conservative, on the principle that an entity wrongly retained imposes modeling effort, whereas an entity wrongly removed renders a later phase unable to express a finding.</w:t>
      </w:r>
    </w:p>
    <w:p>
      <w:pPr>
        <w:pStyle w:val="Heading2"/>
      </w:pPr>
      <w:r>
        <w:t xml:space="preserve">3.3 Basis of the Removals</w:t>
      </w:r>
    </w:p>
    <w:p>
      <w:pPr>
        <w:pStyle w:val="Normal"/>
      </w:pPr>
      <w:r>
        <w:t xml:space="preserve">The seven removals fall into three classes. Product and Location were removed as absent, the unit delivering no commercial product and its operations being confined to a single campus with a program running identically across all schools. Course of Action, Logical Technology Component, and Physical Technology Component were removed as lying beyond the unit's authority, institutional strategy being determined at Management Committee level and platform selection being an institutional decision in which the unit holds no standing. Function and Service Quality were removed as redundant or unsupported, the former duplicating Business Capability without analytical gain in a two person unit, and the latter presupposing service level commitments that the unit neither sets nor administers.</w:t>
      </w:r>
    </w:p>
    <w:p>
      <w:pPr>
        <w:pStyle w:val="Heading2"/>
      </w:pPr>
      <w:r>
        <w:t xml:space="preserve">3.4 Basis of the Contested Retentions</w:t>
      </w:r>
    </w:p>
    <w:p>
      <w:pPr>
        <w:pStyle w:val="Normal"/>
      </w:pPr>
      <w:r>
        <w:t xml:space="preserve">Four retentions warrant explanation. Capability is retained alongside Business Capability because the two are distinct within the standard, the former expressing an ability delivered by a work package and the latter a standing organizational ability. Business Information is retained alongside Data Entity because the same fact of a pairing exists concurrently in the unit's register and in each school's own records, a condition expressible at the information level but invisible at the data level alone. Actor and Role are retained separately because individuals here routinely occupy multiple roles, faculty members serving simultaneously as mentors and as school coordinators. Technology Service is retained without either component level in order to record the finding that the unit consumes externally provisioned platform services without owning technology assets, a distinction that removal of the entire layer would misstate as the absence of technology from the architecture.</w:t>
      </w:r>
    </w:p>
    <w:p>
      <w:pPr>
        <w:pStyle w:val="Heading2"/>
      </w:pPr>
      <w:r>
        <w:t xml:space="preserve">3.5 Treatment of the Decommissioned Mentoring Portal</w:t>
      </w:r>
    </w:p>
    <w:p>
      <w:pPr>
        <w:pStyle w:val="Normal"/>
      </w:pPr>
      <w:r>
        <w:t xml:space="preserve">The mentoring session portal previously used by the unit remains viewable but is no longer in operational use, having been superseded by the form based logging process introduced for the current academic year. It is therefore excluded from the baseline architecture and treated as historical context. The exclusion is recorded explicitly rather than passed over, because the portal's reporting capability represents functionality the current arrangement does not replicate, and the reasons for its disuse constitute evidence bearing directly upon the design of any successor.</w:t>
      </w:r>
    </w:p>
    <w:p>
      <w:r>
        <w:br w:type="page"/>
      </w:r>
    </w:p>
    <w:p>
      <w:pPr>
        <w:pStyle w:val="Heading1"/>
      </w:pPr>
      <w:r>
        <w:t xml:space="preserve">4. Tailored Content Framework</w:t>
      </w:r>
    </w:p>
    <w:p>
      <w:pPr>
        <w:pStyle w:val="Heading2"/>
      </w:pPr>
      <w:r>
        <w:t xml:space="preserve">4.1 Basis of Selection</w:t>
      </w:r>
    </w:p>
    <w:p>
      <w:pPr>
        <w:pStyle w:val="Normal"/>
      </w:pPr>
      <w:r>
        <w:t xml:space="preserve">The Extended Content Framework offers a substantially larger set of catalogs, matrices, and diagrams than a two person architecture team can deliver within a single semester, and the standard treats the selection of artifacts as a matter for the enterprise rather than a fixed requirement (The Open Group, 2022). The commitment below was therefore constrained by two rules. No artifact is committed to unless it can be constructed entirely from entity types retained in the tailored metamodel, and no artifact is committed to unless it addresses a concern raised by stakeholders during the requirements interview or required by the governance chain above the unit.</w:t>
      </w:r>
    </w:p>
    <w:p>
      <w:pPr>
        <w:pStyle w:val="Heading2"/>
      </w:pPr>
      <w:r>
        <w:t xml:space="preserve">4.2 Committed Artifacts</w:t>
      </w:r>
    </w:p>
    <w:p>
      <w:pPr>
        <w:pStyle w:val="Heading3"/>
      </w:pPr>
      <w:r>
        <w:t xml:space="preserve">Phase A: Architecture Vision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color="auto" w:fill="1F4E79"/>
            <w:vAlign w:val="center"/>
          </w:tcPr>
          <w:p>
            <w:r>
              <w:rPr>
                <w:b/>
                <w:color w:val="FFFFFF"/>
                <w:sz w:val="19"/>
              </w:rPr>
              <w:t xml:space="preserve">Artifact</w:t>
            </w:r>
          </w:p>
        </w:tc>
        <w:tc>
          <w:tcPr>
            <w:tcW w:w="2340" w:type="dxa"/>
            <w:shd w:val="clear" w:color="auto" w:fill="1F4E79"/>
            <w:vAlign w:val="center"/>
          </w:tcPr>
          <w:p>
            <w:r>
              <w:rPr>
                <w:b/>
                <w:color w:val="FFFFFF"/>
                <w:sz w:val="19"/>
              </w:rPr>
              <w:t xml:space="preserve">Type</w:t>
            </w:r>
          </w:p>
        </w:tc>
        <w:tc>
          <w:tcPr>
            <w:tcW w:w="2340" w:type="dxa"/>
            <w:shd w:val="clear" w:color="auto" w:fill="1F4E79"/>
            <w:vAlign w:val="center"/>
          </w:tcPr>
          <w:p>
            <w:r>
              <w:rPr>
                <w:b/>
                <w:color w:val="FFFFFF"/>
                <w:sz w:val="19"/>
              </w:rPr>
              <w:t xml:space="preserve">Entities Consumed</w:t>
            </w:r>
          </w:p>
        </w:tc>
        <w:tc>
          <w:tcPr>
            <w:tcW w:w="2340" w:type="dxa"/>
            <w:shd w:val="clear" w:color="auto" w:fill="1F4E79"/>
            <w:vAlign w:val="center"/>
          </w:tcPr>
          <w:p>
            <w:r>
              <w:rPr>
                <w:b/>
                <w:color w:val="FFFFFF"/>
                <w:sz w:val="19"/>
              </w:rPr>
              <w:t xml:space="preserve">Concern Addressed</w:t>
            </w:r>
          </w:p>
        </w:tc>
      </w:tr>
      <w:tr>
        <w:tc>
          <w:tcPr>
            <w:tcW w:w="2340" w:type="dxa"/>
            <w:vAlign w:val="center"/>
          </w:tcPr>
          <w:p>
            <w:r>
              <w:rPr>
                <w:sz w:val="19"/>
              </w:rPr>
              <w:t xml:space="preserve">Architecture Vision Diagram</w:t>
            </w:r>
          </w:p>
        </w:tc>
        <w:tc>
          <w:tcPr>
            <w:tcW w:w="2340" w:type="dxa"/>
            <w:vAlign w:val="center"/>
          </w:tcPr>
          <w:p>
            <w:r>
              <w:rPr>
                <w:sz w:val="19"/>
              </w:rPr>
              <w:t xml:space="preserve">Diagram</w:t>
            </w:r>
          </w:p>
        </w:tc>
        <w:tc>
          <w:tcPr>
            <w:tcW w:w="2340" w:type="dxa"/>
            <w:vAlign w:val="center"/>
          </w:tcPr>
          <w:p>
            <w:r>
              <w:rPr>
                <w:sz w:val="19"/>
              </w:rPr>
              <w:t xml:space="preserve">Driver, Goal, Objective, Business Capability, Actor</w:t>
            </w:r>
          </w:p>
        </w:tc>
        <w:tc>
          <w:tcPr>
            <w:tcW w:w="2340" w:type="dxa"/>
            <w:vAlign w:val="center"/>
          </w:tcPr>
          <w:p>
            <w:r>
              <w:rPr>
                <w:sz w:val="19"/>
              </w:rPr>
              <w:t xml:space="preserve">The Executive Director reports mentoring matters to the Management Committee and requires a single statement of intent traceable to the institutional policy mandating three sessions per semester.</w:t>
            </w:r>
          </w:p>
        </w:tc>
      </w:tr>
    </w:tbl>
    <w:p/>
    <w:p>
      <w:pPr>
        <w:pStyle w:val="Caption"/>
      </w:pPr>
      <w:r>
        <w:rPr>
          <w:b/>
        </w:rPr>
        <w:t>Table 9. </w:t>
      </w:r>
      <w:r>
        <w:t xml:space="preserve">Phase A -- Architecture Vision Artifacts.</w:t>
      </w:r>
    </w:p>
    <w:p>
      <w:pPr>
        <w:pStyle w:val="Heading3"/>
      </w:pPr>
      <w:r>
        <w:t xml:space="preserve">Phase B: Business Architecture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color="auto" w:fill="1F4E79"/>
            <w:vAlign w:val="center"/>
          </w:tcPr>
          <w:p>
            <w:r>
              <w:rPr>
                <w:b/>
                <w:color w:val="FFFFFF"/>
                <w:sz w:val="19"/>
              </w:rPr>
              <w:t xml:space="preserve">Artifact</w:t>
            </w:r>
          </w:p>
        </w:tc>
        <w:tc>
          <w:tcPr>
            <w:tcW w:w="2340" w:type="dxa"/>
            <w:shd w:val="clear" w:color="auto" w:fill="1F4E79"/>
            <w:vAlign w:val="center"/>
          </w:tcPr>
          <w:p>
            <w:r>
              <w:rPr>
                <w:b/>
                <w:color w:val="FFFFFF"/>
                <w:sz w:val="19"/>
              </w:rPr>
              <w:t xml:space="preserve">Type</w:t>
            </w:r>
          </w:p>
        </w:tc>
        <w:tc>
          <w:tcPr>
            <w:tcW w:w="2340" w:type="dxa"/>
            <w:shd w:val="clear" w:color="auto" w:fill="1F4E79"/>
            <w:vAlign w:val="center"/>
          </w:tcPr>
          <w:p>
            <w:r>
              <w:rPr>
                <w:b/>
                <w:color w:val="FFFFFF"/>
                <w:sz w:val="19"/>
              </w:rPr>
              <w:t xml:space="preserve">Entities Consumed</w:t>
            </w:r>
          </w:p>
        </w:tc>
        <w:tc>
          <w:tcPr>
            <w:tcW w:w="2340" w:type="dxa"/>
            <w:shd w:val="clear" w:color="auto" w:fill="1F4E79"/>
            <w:vAlign w:val="center"/>
          </w:tcPr>
          <w:p>
            <w:r>
              <w:rPr>
                <w:b/>
                <w:color w:val="FFFFFF"/>
                <w:sz w:val="19"/>
              </w:rPr>
              <w:t xml:space="preserve">Concern Addressed</w:t>
            </w:r>
          </w:p>
        </w:tc>
      </w:tr>
      <w:tr>
        <w:tc>
          <w:tcPr>
            <w:tcW w:w="2340" w:type="dxa"/>
            <w:vAlign w:val="center"/>
          </w:tcPr>
          <w:p>
            <w:r>
              <w:rPr>
                <w:sz w:val="19"/>
              </w:rPr>
              <w:t xml:space="preserve">Business Capability Map</w:t>
            </w:r>
          </w:p>
        </w:tc>
        <w:tc>
          <w:tcPr>
            <w:tcW w:w="2340" w:type="dxa"/>
            <w:vAlign w:val="center"/>
          </w:tcPr>
          <w:p>
            <w:r>
              <w:rPr>
                <w:sz w:val="19"/>
              </w:rPr>
              <w:t xml:space="preserve">Diagram</w:t>
            </w:r>
          </w:p>
        </w:tc>
        <w:tc>
          <w:tcPr>
            <w:tcW w:w="2340" w:type="dxa"/>
            <w:vAlign w:val="center"/>
          </w:tcPr>
          <w:p>
            <w:r>
              <w:rPr>
                <w:sz w:val="19"/>
              </w:rPr>
              <w:t xml:space="preserve">Business Capability, Organization Unit</w:t>
            </w:r>
          </w:p>
        </w:tc>
        <w:tc>
          <w:tcPr>
            <w:tcW w:w="2340" w:type="dxa"/>
            <w:vAlign w:val="center"/>
          </w:tcPr>
          <w:p>
            <w:r>
              <w:rPr>
                <w:sz w:val="19"/>
              </w:rPr>
              <w:t xml:space="preserve">Establishes that the unit's work comprises mentor sourcing and approval, pairing, session monitoring and compliance, and program governance.</w:t>
            </w:r>
          </w:p>
        </w:tc>
      </w:tr>
      <w:tr>
        <w:tc>
          <w:tcPr>
            <w:tcW w:w="2340" w:type="dxa"/>
            <w:vAlign w:val="center"/>
          </w:tcPr>
          <w:p>
            <w:r>
              <w:rPr>
                <w:sz w:val="19"/>
              </w:rPr>
              <w:t xml:space="preserve">Capability, Process, and Organization Unit Matrix</w:t>
            </w:r>
          </w:p>
        </w:tc>
        <w:tc>
          <w:tcPr>
            <w:tcW w:w="2340" w:type="dxa"/>
            <w:vAlign w:val="center"/>
          </w:tcPr>
          <w:p>
            <w:r>
              <w:rPr>
                <w:sz w:val="19"/>
              </w:rPr>
              <w:t xml:space="preserve">Matrix</w:t>
            </w:r>
          </w:p>
        </w:tc>
        <w:tc>
          <w:tcPr>
            <w:tcW w:w="2340" w:type="dxa"/>
            <w:vAlign w:val="center"/>
          </w:tcPr>
          <w:p>
            <w:r>
              <w:rPr>
                <w:sz w:val="19"/>
              </w:rPr>
              <w:t xml:space="preserve">Business Capability, Process, Organization Unit, Role</w:t>
            </w:r>
          </w:p>
        </w:tc>
        <w:tc>
          <w:tcPr>
            <w:tcW w:w="2340" w:type="dxa"/>
            <w:vAlign w:val="center"/>
          </w:tcPr>
          <w:p>
            <w:r>
              <w:rPr>
                <w:sz w:val="19"/>
              </w:rPr>
              <w:t xml:space="preserve">Pairing is executed by the schools while compliance is answerable by the unit. This three way mapping establishes which processes realize which capabilities and which office holds authority over each, governing what any proposal may legitimately change.</w:t>
            </w:r>
          </w:p>
        </w:tc>
      </w:tr>
      <w:tr>
        <w:tc>
          <w:tcPr>
            <w:tcW w:w="2340" w:type="dxa"/>
            <w:vAlign w:val="center"/>
          </w:tcPr>
          <w:p>
            <w:r>
              <w:rPr>
                <w:sz w:val="19"/>
              </w:rPr>
              <w:t xml:space="preserve">Business Process Diagrams: Pairing and Change of Mentor</w:t>
            </w:r>
          </w:p>
        </w:tc>
        <w:tc>
          <w:tcPr>
            <w:tcW w:w="2340" w:type="dxa"/>
            <w:vAlign w:val="center"/>
          </w:tcPr>
          <w:p>
            <w:r>
              <w:rPr>
                <w:sz w:val="19"/>
              </w:rPr>
              <w:t xml:space="preserve">Diagram</w:t>
            </w:r>
          </w:p>
        </w:tc>
        <w:tc>
          <w:tcPr>
            <w:tcW w:w="2340" w:type="dxa"/>
            <w:vAlign w:val="center"/>
          </w:tcPr>
          <w:p>
            <w:r>
              <w:rPr>
                <w:sz w:val="19"/>
              </w:rPr>
              <w:t xml:space="preserve">Process, Actor, Role, Control, Event, Organization Unit</w:t>
            </w:r>
          </w:p>
        </w:tc>
        <w:tc>
          <w:tcPr>
            <w:tcW w:w="2340" w:type="dxa"/>
            <w:vAlign w:val="center"/>
          </w:tcPr>
          <w:p>
            <w:r>
              <w:rPr>
                <w:sz w:val="19"/>
              </w:rPr>
              <w:t xml:space="preserve">Both were identified by the coordinators as the unit's most burdensome processes, the second requiring sequential agreement from four parties and the update of four separate records. Both diagrams depict the unit's own participation in these processes -- receiving and recording finalized pairings, and assessing, relaying, and tracking mentor-change requests -- consistent with the functional boundary in Section 1.5.3; neither diagram models the schools' internal matching criteria or final approval authority, which remain outside the architecture boundary.</w:t>
            </w:r>
          </w:p>
        </w:tc>
      </w:tr>
    </w:tbl>
    <w:p/>
    <w:p>
      <w:pPr>
        <w:pStyle w:val="Caption"/>
      </w:pPr>
      <w:r>
        <w:rPr>
          <w:b/>
        </w:rPr>
        <w:t>Table 10. </w:t>
      </w:r>
      <w:r>
        <w:t xml:space="preserve">Phase B -- Business Architecture Artifacts.</w:t>
      </w:r>
    </w:p>
    <w:p>
      <w:pPr>
        <w:pStyle w:val="Heading3"/>
      </w:pPr>
      <w:r>
        <w:t xml:space="preserve">Phase C, Part 1: Data Architecture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color="auto" w:fill="1F4E79"/>
            <w:vAlign w:val="center"/>
          </w:tcPr>
          <w:p>
            <w:r>
              <w:rPr>
                <w:b/>
                <w:color w:val="FFFFFF"/>
                <w:sz w:val="19"/>
              </w:rPr>
              <w:t xml:space="preserve">Artifact</w:t>
            </w:r>
          </w:p>
        </w:tc>
        <w:tc>
          <w:tcPr>
            <w:tcW w:w="2340" w:type="dxa"/>
            <w:shd w:val="clear" w:color="auto" w:fill="1F4E79"/>
            <w:vAlign w:val="center"/>
          </w:tcPr>
          <w:p>
            <w:r>
              <w:rPr>
                <w:b/>
                <w:color w:val="FFFFFF"/>
                <w:sz w:val="19"/>
              </w:rPr>
              <w:t xml:space="preserve">Type</w:t>
            </w:r>
          </w:p>
        </w:tc>
        <w:tc>
          <w:tcPr>
            <w:tcW w:w="2340" w:type="dxa"/>
            <w:shd w:val="clear" w:color="auto" w:fill="1F4E79"/>
            <w:vAlign w:val="center"/>
          </w:tcPr>
          <w:p>
            <w:r>
              <w:rPr>
                <w:b/>
                <w:color w:val="FFFFFF"/>
                <w:sz w:val="19"/>
              </w:rPr>
              <w:t xml:space="preserve">Entities Consumed</w:t>
            </w:r>
          </w:p>
        </w:tc>
        <w:tc>
          <w:tcPr>
            <w:tcW w:w="2340" w:type="dxa"/>
            <w:shd w:val="clear" w:color="auto" w:fill="1F4E79"/>
            <w:vAlign w:val="center"/>
          </w:tcPr>
          <w:p>
            <w:r>
              <w:rPr>
                <w:b/>
                <w:color w:val="FFFFFF"/>
                <w:sz w:val="19"/>
              </w:rPr>
              <w:t xml:space="preserve">Concern Addressed</w:t>
            </w:r>
          </w:p>
        </w:tc>
      </w:tr>
      <w:tr>
        <w:tc>
          <w:tcPr>
            <w:tcW w:w="2340" w:type="dxa"/>
            <w:vAlign w:val="center"/>
          </w:tcPr>
          <w:p>
            <w:r>
              <w:rPr>
                <w:sz w:val="19"/>
              </w:rPr>
              <w:t xml:space="preserve">Data Entity Diagram</w:t>
            </w:r>
          </w:p>
        </w:tc>
        <w:tc>
          <w:tcPr>
            <w:tcW w:w="2340" w:type="dxa"/>
            <w:vAlign w:val="center"/>
          </w:tcPr>
          <w:p>
            <w:r>
              <w:rPr>
                <w:sz w:val="19"/>
              </w:rPr>
              <w:t xml:space="preserve">Diagram</w:t>
            </w:r>
          </w:p>
        </w:tc>
        <w:tc>
          <w:tcPr>
            <w:tcW w:w="2340" w:type="dxa"/>
            <w:vAlign w:val="center"/>
          </w:tcPr>
          <w:p>
            <w:r>
              <w:rPr>
                <w:sz w:val="19"/>
              </w:rPr>
              <w:t xml:space="preserve">Data Entity, Business Information, Logical Data Component</w:t>
            </w:r>
          </w:p>
        </w:tc>
        <w:tc>
          <w:tcPr>
            <w:tcW w:w="2340" w:type="dxa"/>
            <w:vAlign w:val="center"/>
          </w:tcPr>
          <w:p>
            <w:r>
              <w:rPr>
                <w:sz w:val="19"/>
              </w:rPr>
              <w:t xml:space="preserve">Establishes the logical relationships among student, mentor, pairing, session, and confirmation records presently held across unconnected stores.</w:t>
            </w:r>
          </w:p>
        </w:tc>
      </w:tr>
      <w:tr>
        <w:tc>
          <w:tcPr>
            <w:tcW w:w="2340" w:type="dxa"/>
            <w:vAlign w:val="center"/>
          </w:tcPr>
          <w:p>
            <w:r>
              <w:rPr>
                <w:sz w:val="19"/>
              </w:rPr>
              <w:t xml:space="preserve">Data Entity to Organization Unit Matrix</w:t>
            </w:r>
          </w:p>
        </w:tc>
        <w:tc>
          <w:tcPr>
            <w:tcW w:w="2340" w:type="dxa"/>
            <w:vAlign w:val="center"/>
          </w:tcPr>
          <w:p>
            <w:r>
              <w:rPr>
                <w:sz w:val="19"/>
              </w:rPr>
              <w:t xml:space="preserve">Matrix</w:t>
            </w:r>
          </w:p>
        </w:tc>
        <w:tc>
          <w:tcPr>
            <w:tcW w:w="2340" w:type="dxa"/>
            <w:vAlign w:val="center"/>
          </w:tcPr>
          <w:p>
            <w:r>
              <w:rPr>
                <w:sz w:val="19"/>
              </w:rPr>
              <w:t xml:space="preserve">Data Entity, Organization Unit</w:t>
            </w:r>
          </w:p>
        </w:tc>
        <w:tc>
          <w:tcPr>
            <w:tcW w:w="2340" w:type="dxa"/>
            <w:vAlign w:val="center"/>
          </w:tcPr>
          <w:p>
            <w:r>
              <w:rPr>
                <w:sz w:val="19"/>
              </w:rPr>
              <w:t xml:space="preserve">Correctness and consistency across the offices processing the same data was identified as the unit's foremost data concern, together with the requirement that compliance records reconcile against school enrollment totals.</w:t>
            </w:r>
          </w:p>
        </w:tc>
      </w:tr>
    </w:tbl>
    <w:p/>
    <w:p>
      <w:pPr>
        <w:pStyle w:val="Caption"/>
      </w:pPr>
      <w:r>
        <w:rPr>
          <w:b/>
        </w:rPr>
        <w:t>Table 11. </w:t>
      </w:r>
      <w:r>
        <w:t xml:space="preserve">Phase C (Data Architecture) Artifacts.</w:t>
      </w:r>
    </w:p>
    <w:p>
      <w:pPr>
        <w:pStyle w:val="Heading3"/>
      </w:pPr>
      <w:r>
        <w:t xml:space="preserve">Phase C, Part 2: Application Architecture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color="auto" w:fill="1F4E79"/>
            <w:vAlign w:val="center"/>
          </w:tcPr>
          <w:p>
            <w:r>
              <w:rPr>
                <w:b/>
                <w:color w:val="FFFFFF"/>
                <w:sz w:val="19"/>
              </w:rPr>
              <w:t xml:space="preserve">Artifact</w:t>
            </w:r>
          </w:p>
        </w:tc>
        <w:tc>
          <w:tcPr>
            <w:tcW w:w="2340" w:type="dxa"/>
            <w:shd w:val="clear" w:color="auto" w:fill="1F4E79"/>
            <w:vAlign w:val="center"/>
          </w:tcPr>
          <w:p>
            <w:r>
              <w:rPr>
                <w:b/>
                <w:color w:val="FFFFFF"/>
                <w:sz w:val="19"/>
              </w:rPr>
              <w:t xml:space="preserve">Type</w:t>
            </w:r>
          </w:p>
        </w:tc>
        <w:tc>
          <w:tcPr>
            <w:tcW w:w="2340" w:type="dxa"/>
            <w:shd w:val="clear" w:color="auto" w:fill="1F4E79"/>
            <w:vAlign w:val="center"/>
          </w:tcPr>
          <w:p>
            <w:r>
              <w:rPr>
                <w:b/>
                <w:color w:val="FFFFFF"/>
                <w:sz w:val="19"/>
              </w:rPr>
              <w:t xml:space="preserve">Entities Consumed</w:t>
            </w:r>
          </w:p>
        </w:tc>
        <w:tc>
          <w:tcPr>
            <w:tcW w:w="2340" w:type="dxa"/>
            <w:shd w:val="clear" w:color="auto" w:fill="1F4E79"/>
            <w:vAlign w:val="center"/>
          </w:tcPr>
          <w:p>
            <w:r>
              <w:rPr>
                <w:b/>
                <w:color w:val="FFFFFF"/>
                <w:sz w:val="19"/>
              </w:rPr>
              <w:t xml:space="preserve">Concern Addressed</w:t>
            </w:r>
          </w:p>
        </w:tc>
      </w:tr>
      <w:tr>
        <w:tc>
          <w:tcPr>
            <w:tcW w:w="2340" w:type="dxa"/>
            <w:vAlign w:val="center"/>
          </w:tcPr>
          <w:p>
            <w:r>
              <w:rPr>
                <w:sz w:val="19"/>
              </w:rPr>
              <w:t xml:space="preserve">Application Portfolio Catalog</w:t>
            </w:r>
          </w:p>
        </w:tc>
        <w:tc>
          <w:tcPr>
            <w:tcW w:w="2340" w:type="dxa"/>
            <w:vAlign w:val="center"/>
          </w:tcPr>
          <w:p>
            <w:r>
              <w:rPr>
                <w:sz w:val="19"/>
              </w:rPr>
              <w:t xml:space="preserve">Catalog</w:t>
            </w:r>
          </w:p>
        </w:tc>
        <w:tc>
          <w:tcPr>
            <w:tcW w:w="2340" w:type="dxa"/>
            <w:vAlign w:val="center"/>
          </w:tcPr>
          <w:p>
            <w:r>
              <w:rPr>
                <w:sz w:val="19"/>
              </w:rPr>
              <w:t xml:space="preserve">Logical Application Component, Physical Application Component, Application Service, Business Capability</w:t>
            </w:r>
          </w:p>
        </w:tc>
        <w:tc>
          <w:tcPr>
            <w:tcW w:w="2340" w:type="dxa"/>
            <w:vAlign w:val="center"/>
          </w:tcPr>
          <w:p>
            <w:r>
              <w:rPr>
                <w:sz w:val="19"/>
              </w:rPr>
              <w:t xml:space="preserve">Establishes the components presently supporting the logging workflow and the capability each supports, none of which are configured or administered by the unit itself.</w:t>
            </w:r>
          </w:p>
        </w:tc>
      </w:tr>
      <w:tr>
        <w:tc>
          <w:tcPr>
            <w:tcW w:w="2340" w:type="dxa"/>
            <w:vAlign w:val="center"/>
          </w:tcPr>
          <w:p>
            <w:r>
              <w:rPr>
                <w:sz w:val="19"/>
              </w:rPr>
              <w:t xml:space="preserve">Application Communication Diagram</w:t>
            </w:r>
          </w:p>
        </w:tc>
        <w:tc>
          <w:tcPr>
            <w:tcW w:w="2340" w:type="dxa"/>
            <w:vAlign w:val="center"/>
          </w:tcPr>
          <w:p>
            <w:r>
              <w:rPr>
                <w:sz w:val="19"/>
              </w:rPr>
              <w:t xml:space="preserve">Diagram</w:t>
            </w:r>
          </w:p>
        </w:tc>
        <w:tc>
          <w:tcPr>
            <w:tcW w:w="2340" w:type="dxa"/>
            <w:vAlign w:val="center"/>
          </w:tcPr>
          <w:p>
            <w:r>
              <w:rPr>
                <w:sz w:val="19"/>
              </w:rPr>
              <w:t xml:space="preserve">Application Service, Logical Application Component, Physical Application Component, Data Entity</w:t>
            </w:r>
          </w:p>
        </w:tc>
        <w:tc>
          <w:tcPr>
            <w:tcW w:w="2340" w:type="dxa"/>
            <w:vAlign w:val="center"/>
          </w:tcPr>
          <w:p>
            <w:r>
              <w:rPr>
                <w:sz w:val="19"/>
              </w:rPr>
              <w:t xml:space="preserve">Documents the submission, notification, confirmation, and archival sequence, including the separate administrative copy retained against accidental alteration of a shared record.</w:t>
            </w:r>
          </w:p>
        </w:tc>
      </w:tr>
      <w:tr>
        <w:tc>
          <w:tcPr>
            <w:tcW w:w="2340" w:type="dxa"/>
            <w:vAlign w:val="center"/>
          </w:tcPr>
          <w:p>
            <w:r>
              <w:rPr>
                <w:sz w:val="19"/>
              </w:rPr>
              <w:t xml:space="preserve">Application to Data Entity Matrix</w:t>
            </w:r>
          </w:p>
        </w:tc>
        <w:tc>
          <w:tcPr>
            <w:tcW w:w="2340" w:type="dxa"/>
            <w:vAlign w:val="center"/>
          </w:tcPr>
          <w:p>
            <w:r>
              <w:rPr>
                <w:sz w:val="19"/>
              </w:rPr>
              <w:t xml:space="preserve">Matrix</w:t>
            </w:r>
          </w:p>
        </w:tc>
        <w:tc>
          <w:tcPr>
            <w:tcW w:w="2340" w:type="dxa"/>
            <w:vAlign w:val="center"/>
          </w:tcPr>
          <w:p>
            <w:r>
              <w:rPr>
                <w:sz w:val="19"/>
              </w:rPr>
              <w:t xml:space="preserve">Physical Application Component, Data Entity</w:t>
            </w:r>
          </w:p>
        </w:tc>
        <w:tc>
          <w:tcPr>
            <w:tcW w:w="2340" w:type="dxa"/>
            <w:vAlign w:val="center"/>
          </w:tcPr>
          <w:p>
            <w:r>
              <w:rPr>
                <w:sz w:val="19"/>
              </w:rPr>
              <w:t xml:space="preserve">Demonstrates that the pairing register and the session response store hold related records without an interface between them, a connection the unit has stated it wishes to establish.</w:t>
            </w:r>
          </w:p>
        </w:tc>
      </w:tr>
    </w:tbl>
    <w:p/>
    <w:p>
      <w:pPr>
        <w:pStyle w:val="Caption"/>
      </w:pPr>
      <w:r>
        <w:rPr>
          <w:b/>
        </w:rPr>
        <w:t>Table 12. </w:t>
      </w:r>
      <w:r>
        <w:t xml:space="preserve">Phase C (Application Architecture) Artifacts.</w:t>
      </w:r>
    </w:p>
    <w:p>
      <w:pPr>
        <w:pStyle w:val="Heading3"/>
      </w:pPr>
      <w:r>
        <w:t xml:space="preserve">Phase D: Technology Architecture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color="auto" w:fill="1F4E79"/>
            <w:vAlign w:val="center"/>
          </w:tcPr>
          <w:p>
            <w:r>
              <w:rPr>
                <w:b/>
                <w:color w:val="FFFFFF"/>
                <w:sz w:val="19"/>
              </w:rPr>
              <w:t xml:space="preserve">Artifact</w:t>
            </w:r>
          </w:p>
        </w:tc>
        <w:tc>
          <w:tcPr>
            <w:tcW w:w="2340" w:type="dxa"/>
            <w:shd w:val="clear" w:color="auto" w:fill="1F4E79"/>
            <w:vAlign w:val="center"/>
          </w:tcPr>
          <w:p>
            <w:r>
              <w:rPr>
                <w:b/>
                <w:color w:val="FFFFFF"/>
                <w:sz w:val="19"/>
              </w:rPr>
              <w:t xml:space="preserve">Type</w:t>
            </w:r>
          </w:p>
        </w:tc>
        <w:tc>
          <w:tcPr>
            <w:tcW w:w="2340" w:type="dxa"/>
            <w:shd w:val="clear" w:color="auto" w:fill="1F4E79"/>
            <w:vAlign w:val="center"/>
          </w:tcPr>
          <w:p>
            <w:r>
              <w:rPr>
                <w:b/>
                <w:color w:val="FFFFFF"/>
                <w:sz w:val="19"/>
              </w:rPr>
              <w:t xml:space="preserve">Entities Consumed</w:t>
            </w:r>
          </w:p>
        </w:tc>
        <w:tc>
          <w:tcPr>
            <w:tcW w:w="2340" w:type="dxa"/>
            <w:shd w:val="clear" w:color="auto" w:fill="1F4E79"/>
            <w:vAlign w:val="center"/>
          </w:tcPr>
          <w:p>
            <w:r>
              <w:rPr>
                <w:b/>
                <w:color w:val="FFFFFF"/>
                <w:sz w:val="19"/>
              </w:rPr>
              <w:t xml:space="preserve">Concern Addressed</w:t>
            </w:r>
          </w:p>
        </w:tc>
      </w:tr>
      <w:tr>
        <w:tc>
          <w:tcPr>
            <w:tcW w:w="2340" w:type="dxa"/>
            <w:vAlign w:val="center"/>
          </w:tcPr>
          <w:p>
            <w:r>
              <w:rPr>
                <w:sz w:val="19"/>
              </w:rPr>
              <w:t xml:space="preserve">Technology Service Catalog</w:t>
            </w:r>
          </w:p>
        </w:tc>
        <w:tc>
          <w:tcPr>
            <w:tcW w:w="2340" w:type="dxa"/>
            <w:vAlign w:val="center"/>
          </w:tcPr>
          <w:p>
            <w:r>
              <w:rPr>
                <w:sz w:val="19"/>
              </w:rPr>
              <w:t xml:space="preserve">Catalog</w:t>
            </w:r>
          </w:p>
        </w:tc>
        <w:tc>
          <w:tcPr>
            <w:tcW w:w="2340" w:type="dxa"/>
            <w:vAlign w:val="center"/>
          </w:tcPr>
          <w:p>
            <w:r>
              <w:rPr>
                <w:sz w:val="19"/>
              </w:rPr>
              <w:t xml:space="preserve">Technology Service, Organization Unit</w:t>
            </w:r>
          </w:p>
        </w:tc>
        <w:tc>
          <w:tcPr>
            <w:tcW w:w="2340" w:type="dxa"/>
            <w:vAlign w:val="center"/>
          </w:tcPr>
          <w:p>
            <w:r>
              <w:rPr>
                <w:sz w:val="19"/>
              </w:rPr>
              <w:t xml:space="preserve">Records the platform services upon which the architecture depends and the office accountable for provisioning them, consistent with the finding that the unit consumes technology services without owning technology assets.</w:t>
            </w:r>
          </w:p>
        </w:tc>
      </w:tr>
    </w:tbl>
    <w:p/>
    <w:p>
      <w:pPr>
        <w:pStyle w:val="Caption"/>
      </w:pPr>
      <w:r>
        <w:rPr>
          <w:b/>
        </w:rPr>
        <w:t>Table 13. </w:t>
      </w:r>
      <w:r>
        <w:t xml:space="preserve">Phase D -- Technology Architecture Artifacts.</w:t>
      </w:r>
    </w:p>
    <w:p>
      <w:pPr>
        <w:pStyle w:val="Heading3"/>
      </w:pPr>
      <w:r>
        <w:t xml:space="preserve">Phase E: Opportunities and Solutions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shd w:val="clear" w:color="auto" w:fill="1F4E79"/>
            <w:vAlign w:val="center"/>
          </w:tcPr>
          <w:p>
            <w:r>
              <w:rPr>
                <w:b/>
                <w:color w:val="FFFFFF"/>
                <w:sz w:val="19"/>
              </w:rPr>
              <w:t xml:space="preserve">Artifact</w:t>
            </w:r>
          </w:p>
        </w:tc>
        <w:tc>
          <w:tcPr>
            <w:tcW w:w="2340" w:type="dxa"/>
            <w:shd w:val="clear" w:color="auto" w:fill="1F4E79"/>
            <w:vAlign w:val="center"/>
          </w:tcPr>
          <w:p>
            <w:r>
              <w:rPr>
                <w:b/>
                <w:color w:val="FFFFFF"/>
                <w:sz w:val="19"/>
              </w:rPr>
              <w:t xml:space="preserve">Type</w:t>
            </w:r>
          </w:p>
        </w:tc>
        <w:tc>
          <w:tcPr>
            <w:tcW w:w="2340" w:type="dxa"/>
            <w:shd w:val="clear" w:color="auto" w:fill="1F4E79"/>
            <w:vAlign w:val="center"/>
          </w:tcPr>
          <w:p>
            <w:r>
              <w:rPr>
                <w:b/>
                <w:color w:val="FFFFFF"/>
                <w:sz w:val="19"/>
              </w:rPr>
              <w:t xml:space="preserve">Entities Consumed</w:t>
            </w:r>
          </w:p>
        </w:tc>
        <w:tc>
          <w:tcPr>
            <w:tcW w:w="2340" w:type="dxa"/>
            <w:shd w:val="clear" w:color="auto" w:fill="1F4E79"/>
            <w:vAlign w:val="center"/>
          </w:tcPr>
          <w:p>
            <w:r>
              <w:rPr>
                <w:b/>
                <w:color w:val="FFFFFF"/>
                <w:sz w:val="19"/>
              </w:rPr>
              <w:t xml:space="preserve">Concern Addressed</w:t>
            </w:r>
          </w:p>
        </w:tc>
      </w:tr>
      <w:tr>
        <w:tc>
          <w:tcPr>
            <w:tcW w:w="2340" w:type="dxa"/>
            <w:vAlign w:val="center"/>
          </w:tcPr>
          <w:p>
            <w:r>
              <w:rPr>
                <w:sz w:val="19"/>
              </w:rPr>
              <w:t xml:space="preserve">Architecture Roadmap incorporating Gap Analysis</w:t>
            </w:r>
          </w:p>
        </w:tc>
        <w:tc>
          <w:tcPr>
            <w:tcW w:w="2340" w:type="dxa"/>
            <w:vAlign w:val="center"/>
          </w:tcPr>
          <w:p>
            <w:r>
              <w:rPr>
                <w:sz w:val="19"/>
              </w:rPr>
              <w:t xml:space="preserve">Catalog and Matrix</w:t>
            </w:r>
          </w:p>
        </w:tc>
        <w:tc>
          <w:tcPr>
            <w:tcW w:w="2340" w:type="dxa"/>
            <w:vAlign w:val="center"/>
          </w:tcPr>
          <w:p>
            <w:r>
              <w:rPr>
                <w:sz w:val="19"/>
              </w:rPr>
              <w:t xml:space="preserve">Gap, Capability, Work Package, Business Capability, Application Service, Data Entity</w:t>
            </w:r>
          </w:p>
        </w:tc>
        <w:tc>
          <w:tcPr>
            <w:tcW w:w="2340" w:type="dxa"/>
            <w:vAlign w:val="center"/>
          </w:tcPr>
          <w:p>
            <w:r>
              <w:rPr>
                <w:sz w:val="19"/>
              </w:rPr>
              <w:t xml:space="preserve">Establishes the difference between baseline and target across the capabilities identified as deficient, principally pairing coordination and compliance monitoring, and expresses the remedy as sequenced increments. The coordinators proposed limiting any initial change to a single school before wider adoption, which requires change to be divisible in this way.</w:t>
            </w:r>
          </w:p>
        </w:tc>
      </w:tr>
    </w:tbl>
    <w:p/>
    <w:p>
      <w:pPr>
        <w:pStyle w:val="Caption"/>
      </w:pPr>
      <w:r>
        <w:rPr>
          <w:b/>
        </w:rPr>
        <w:t>Table 14. </w:t>
      </w:r>
      <w:r>
        <w:t xml:space="preserve">Phase E -- Opportunities and Solutions Artifacts.</w:t>
      </w:r>
    </w:p>
    <w:p>
      <w:pPr>
        <w:pStyle w:val="Normal"/>
      </w:pPr>
      <w:r>
        <w:t xml:space="preserve">Eleven artifacts are committed in total, comprising three catalogs, three matrices, and five diagrams, with the Phase E artifact combining catalog and matrix forms.</w:t>
      </w:r>
    </w:p>
    <w:p>
      <w:pPr>
        <w:pStyle w:val="Heading2"/>
      </w:pPr>
      <w:r>
        <w:t xml:space="preserve">4.3 Baseline and Target Coverage</w:t>
      </w:r>
    </w:p>
    <w:p>
      <w:pPr>
        <w:pStyle w:val="Normal"/>
      </w:pPr>
      <w:r>
        <w:t xml:space="preserve">Artifacts showing the baseline state against the target state are treated in the course guidance as those required for understanding and approval. Producing both states for all eleven artifacts would exceed the capacity of a two person team within a single semester, and would in most cases document a difference that does not exist.</w:t>
      </w:r>
    </w:p>
    <w:p>
      <w:pPr>
        <w:pStyle w:val="Normal"/>
      </w:pPr>
      <w:r>
        <w:t xml:space="preserve">Two artifacts are therefore committed in both baseline and target versions. The Business Capability Map is produced in both because the target introduces capability the unit does not presently hold, particularly in reconciling compliance data against enrollment. The Application Communication Diagram is produced in both because the target establishes an interface between the pairing register and the session response store, which is the principal structural change under consideration.</w:t>
      </w:r>
    </w:p>
    <w:p>
      <w:pPr>
        <w:pStyle w:val="Normal"/>
      </w:pPr>
      <w:r>
        <w:t xml:space="preserve">The remaining nine artifacts are committed in baseline form only. The organizational division of authority, the data entities themselves, and the platform services upon which the unit depends are not expected to differ between states, the engagement proposing changes to coordination and integration rather than to the structure of the institution or its choice of platform. The difference between states for these artifacts is recorded in the Phase E gap analysis rather than duplicated as parallel diagrams.</w:t>
      </w:r>
    </w:p>
    <w:p>
      <w:pPr>
        <w:pStyle w:val="Heading2"/>
      </w:pPr>
      <w:r>
        <w:t xml:space="preserve">4.4 Notation</w:t>
      </w:r>
    </w:p>
    <w:p>
      <w:pPr>
        <w:pStyle w:val="Normal"/>
      </w:pPr>
      <w:r>
        <w:t xml:space="preserve">Artifacts will be expressed in the ArchiMate modeling language, which the standard identifies among the notations capable of expressing TOGAF concepts (The Open Group, 2022), and whose element types correspond directly to the entities retained in the tailored metamodel.</w:t>
      </w:r>
    </w:p>
    <w:p>
      <w:pPr>
        <w:pStyle w:val="Normal"/>
      </w:pPr>
      <w:r>
        <w:t xml:space="preserve">The exception is the pairing and change of mentor process diagrams, which will be expressed in Business Process Model and Notation. Both processes cross organizational boundaries, and the analytical finding in each concerns the sequence of handoffs between parties and the intervals separating them, which pool and lane notation represents directly and ArchiMate does not.</w:t>
      </w:r>
    </w:p>
    <w:p>
      <w:pPr>
        <w:pStyle w:val="Heading2"/>
      </w:pPr>
      <w:r>
        <w:t xml:space="preserve">4.5 Artifacts Considered and Excluded</w:t>
      </w:r>
    </w:p>
    <w:p>
      <w:pPr>
        <w:pStyle w:val="Normal"/>
      </w:pPr>
      <w:r>
        <w:t xml:space="preserve">Several artifacts were assessed against the criteria in Section 4.1 and set aside, and their absence should be understood as a tailoring decision rather than an oversight. The Product Lifecycle Diagram, the Environments and Locations Diagram, and the Technology Portfolio Catalog were excluded because each requires an entity type removed from the tailored metamodel, respectively Product, Location, and the technology component entities. The Value Stream Map and the Organization Structure Diagram were excluded as duplicative, the first being covered by the process diagrams and the Phase E gap analysis, and the second by the Stakeholder Map and RACI Matrix within Section 1. No artifacts are committed for Phases F, G, or H, since migration planning, implementation governance, and architecture change management each presuppose an implementation under way, whereas the present engagement terminates at a conceptual proposal. Should the work proceed to development, the content framework would be revisited and extended, which the standard anticipates as normal practice.</w:t>
      </w:r>
    </w:p>
    <w:p>
      <w:r>
        <w:br w:type="page"/>
      </w:r>
    </w:p>
    <w:p>
      <w:pPr>
        <w:pStyle w:val="Heading1"/>
      </w:pPr>
      <w:r>
        <w:t xml:space="preserve">5. Principles Catalog</w:t>
      </w:r>
    </w:p>
    <w:p>
      <w:pPr>
        <w:pStyle w:val="Normal"/>
      </w:pPr>
      <w:r>
        <w:t xml:space="preserve">This section drafts a small set of foundational Enterprise and Architecture Principles. Each principle follows the strict TOGAF four-part template: Name, Statement, Rationale, and Implications.</w:t>
      </w:r>
    </w:p>
    <w:p>
      <w:pPr>
        <w:pStyle w:val="Heading2"/>
      </w:pPr>
      <w:r>
        <w:t xml:space="preserve">5.1 Principle 1: Student-Owned Session Records</w:t>
      </w:r>
    </w:p>
    <w:p>
      <w:pPr>
        <w:pStyle w:val="Normal"/>
      </w:pPr>
      <w:r>
        <w:t xml:space="preserve">Statement: Undergraduate students are the primary recorders of their own mentoring sessions, and the mentoring unit validates rather than encodes these records.</w:t>
      </w:r>
    </w:p>
    <w:p>
      <w:pPr>
        <w:pStyle w:val="Normal"/>
      </w:pPr>
      <w:r>
        <w:t xml:space="preserve">Rationale: Starting AY 2026-2027, the university requires three mentoring sessions per semester for all undergraduates who are now responsible for logging these sessions. With only two operations coordinators, the mentoring unit cannot sustain manual encoding for the entire undergraduate population. Placing the duty of recording sessions to the students themselves also increases timeliness and accountability.</w:t>
      </w:r>
    </w:p>
    <w:p>
      <w:pPr>
        <w:pStyle w:val="Normal"/>
      </w:pPr>
      <w:r>
        <w:t xml:space="preserve">Implications:</w:t>
      </w:r>
    </w:p>
    <w:p>
      <w:pPr>
        <w:pStyle w:val="ListParagraph"/>
        <w:numPr>
          <w:ilvl w:val="0"/>
          <w:numId w:val="1"/>
        </w:numPr>
      </w:pPr>
      <w:r>
        <w:t xml:space="preserve">Any logging tool must be simple enough for students to use without assistance.</w:t>
      </w:r>
    </w:p>
    <w:p>
      <w:pPr>
        <w:pStyle w:val="ListParagraph"/>
        <w:numPr>
          <w:ilvl w:val="0"/>
          <w:numId w:val="1"/>
        </w:numPr>
      </w:pPr>
      <w:r>
        <w:t xml:space="preserve">The mentoring unit's role shifts from data entry to monitoring, validation, and follow-up of incomplete records.</w:t>
      </w:r>
    </w:p>
    <w:p>
      <w:pPr>
        <w:pStyle w:val="ListParagraph"/>
        <w:numPr>
          <w:ilvl w:val="0"/>
          <w:numId w:val="1"/>
        </w:numPr>
      </w:pPr>
      <w:r>
        <w:t xml:space="preserve">Students and mentors need clear guidance on what counts as a valid session.</w:t>
      </w:r>
    </w:p>
    <w:p>
      <w:pPr>
        <w:pStyle w:val="ListParagraph"/>
        <w:numPr>
          <w:ilvl w:val="0"/>
          <w:numId w:val="1"/>
        </w:numPr>
      </w:pPr>
      <w:r>
        <w:t xml:space="preserve">A mechanism is needed to flag students who fall below the required number of sessions before the semester ends.</w:t>
      </w:r>
    </w:p>
    <w:p>
      <w:pPr>
        <w:pStyle w:val="Heading2"/>
      </w:pPr>
      <w:r>
        <w:t xml:space="preserve">5.2 Principle 2: Data Consistency and Accuracy</w:t>
      </w:r>
    </w:p>
    <w:p>
      <w:pPr>
        <w:pStyle w:val="Normal"/>
      </w:pPr>
      <w:r>
        <w:t xml:space="preserve">Statement: All data about mentor-mentee pairings and session logging must be consistent and complete across all parties that maintain it.</w:t>
      </w:r>
    </w:p>
    <w:p>
      <w:pPr>
        <w:pStyle w:val="Normal"/>
      </w:pPr>
      <w:r>
        <w:t xml:space="preserve">Rationale: The Mentoring Unit is not the sole owner of this data -- it is being used by the other parties for their own monitoring and approval purposes. Schools manage their own records of mentees and mentors, ManCom relies on it to answer institutional questions, and the IT Office relies on it to determine the effectiveness and compliance of their tools. Inconsistent or inaccurate data between each of these parties undermines trust in reporting and makes it difficult to determine if students are indeed meeting their required number of sessions each semester.</w:t>
      </w:r>
    </w:p>
    <w:p>
      <w:pPr>
        <w:pStyle w:val="Normal"/>
      </w:pPr>
      <w:r>
        <w:t xml:space="preserve">Implications:</w:t>
      </w:r>
    </w:p>
    <w:p>
      <w:pPr>
        <w:pStyle w:val="ListParagraph"/>
        <w:numPr>
          <w:ilvl w:val="0"/>
          <w:numId w:val="1"/>
        </w:numPr>
      </w:pPr>
      <w:r>
        <w:t xml:space="preserve">Any change in a process must include a way to reconcile data between the Unit's records and each of the school's own records. This is not just cleaning up the Unit's own system in isolation.</w:t>
      </w:r>
    </w:p>
    <w:p>
      <w:pPr>
        <w:pStyle w:val="ListParagraph"/>
        <w:numPr>
          <w:ilvl w:val="0"/>
          <w:numId w:val="1"/>
        </w:numPr>
      </w:pPr>
      <w:r>
        <w:t xml:space="preserve">The database for the Google Forms session logging and the mentor-mentee pairing are isolated from one another. This is a consistency risk, despite sharing similar data, and must be minimized and not treated as a permanent setup.</w:t>
      </w:r>
    </w:p>
    <w:p>
      <w:pPr>
        <w:pStyle w:val="ListParagraph"/>
        <w:numPr>
          <w:ilvl w:val="0"/>
          <w:numId w:val="1"/>
        </w:numPr>
      </w:pPr>
      <w:r>
        <w:t xml:space="preserve">There are possible discrepancies in the reporting in the old logging process. This may be apparent in the new policy and must be eliminated, investigated, or at least minimized.</w:t>
      </w:r>
    </w:p>
    <w:p>
      <w:pPr>
        <w:pStyle w:val="Heading2"/>
      </w:pPr>
      <w:r>
        <w:t xml:space="preserve">5.3 Principle 3: Google Workspace as Primary Operations Tool</w:t>
      </w:r>
    </w:p>
    <w:p>
      <w:pPr>
        <w:pStyle w:val="Normal"/>
      </w:pPr>
      <w:r>
        <w:t xml:space="preserve">Statement: Solutions for the mentoring unit use the university's existing Google Workspace services before any new application or platform is considered.</w:t>
      </w:r>
    </w:p>
    <w:p>
      <w:pPr>
        <w:pStyle w:val="Normal"/>
      </w:pPr>
      <w:r>
        <w:t xml:space="preserve">Rationale: The mentoring unit currently runs all its operations on Google Workspace, which the university already licenses and the IT office already supports. The staff are familiar with these tools. It was mentioned that a dedicated mentoring portal was abandoned, which shows the risk of introducing systems the unit cannot maintain on its own.</w:t>
      </w:r>
    </w:p>
    <w:p>
      <w:pPr>
        <w:pStyle w:val="Normal"/>
      </w:pPr>
      <w:r>
        <w:t xml:space="preserve">Implications:</w:t>
      </w:r>
    </w:p>
    <w:p>
      <w:pPr>
        <w:pStyle w:val="ListParagraph"/>
        <w:numPr>
          <w:ilvl w:val="0"/>
          <w:numId w:val="1"/>
        </w:numPr>
      </w:pPr>
      <w:r>
        <w:t xml:space="preserve">New requirements are first assessed against Forms, Sheets, Drive, Calendar, and Apps Script.</w:t>
      </w:r>
    </w:p>
    <w:p>
      <w:pPr>
        <w:pStyle w:val="ListParagraph"/>
        <w:numPr>
          <w:ilvl w:val="0"/>
          <w:numId w:val="1"/>
        </w:numPr>
      </w:pPr>
      <w:r>
        <w:t xml:space="preserve">A non-Workspace solution requires a documented justification and an endorsement from the IT office.</w:t>
      </w:r>
    </w:p>
    <w:p>
      <w:pPr>
        <w:pStyle w:val="ListParagraph"/>
        <w:numPr>
          <w:ilvl w:val="0"/>
          <w:numId w:val="1"/>
        </w:numPr>
      </w:pPr>
      <w:r>
        <w:t xml:space="preserve">The solution inherits Workspace's limits on access control, automation, and reporting.</w:t>
      </w:r>
    </w:p>
    <w:p>
      <w:pPr>
        <w:pStyle w:val="Heading2"/>
      </w:pPr>
      <w:r>
        <w:t xml:space="preserve">5.4 Principle 4: Confidentiality of the Mentoring Relationship</w:t>
      </w:r>
    </w:p>
    <w:p>
      <w:pPr>
        <w:pStyle w:val="Normal"/>
      </w:pPr>
      <w:r>
        <w:t xml:space="preserve">Statement: Mentor-mentee assignments, mentor-change reasons, and discussions in mentoring sessions must remain confidential and not be disclosed beyond what is necessary to process them.</w:t>
      </w:r>
    </w:p>
    <w:p>
      <w:pPr>
        <w:pStyle w:val="Normal"/>
      </w:pPr>
      <w:r>
        <w:t xml:space="preserve">Rationale: In accordance with the university's data privacy policies and Philippine law, personal information must be strictly handled confidentially. This is to protect identity and safety of the people involved.</w:t>
      </w:r>
    </w:p>
    <w:p>
      <w:pPr>
        <w:pStyle w:val="Normal"/>
      </w:pPr>
      <w:r>
        <w:t xml:space="preserve">Implications:</w:t>
      </w:r>
    </w:p>
    <w:p>
      <w:pPr>
        <w:pStyle w:val="ListParagraph"/>
        <w:numPr>
          <w:ilvl w:val="0"/>
          <w:numId w:val="1"/>
        </w:numPr>
      </w:pPr>
      <w:r>
        <w:t xml:space="preserve">All information that will be handled in this engagement must be handled confidentially and not released publicly.</w:t>
      </w:r>
    </w:p>
    <w:p>
      <w:pPr>
        <w:pStyle w:val="ListParagraph"/>
        <w:numPr>
          <w:ilvl w:val="0"/>
          <w:numId w:val="1"/>
        </w:numPr>
      </w:pPr>
      <w:r>
        <w:t xml:space="preserve">Proposal of processes that will handle personal information must be disclosed to all parties involved.</w:t>
      </w:r>
    </w:p>
    <w:p>
      <w:pPr>
        <w:pStyle w:val="ListParagraph"/>
        <w:numPr>
          <w:ilvl w:val="0"/>
          <w:numId w:val="1"/>
        </w:numPr>
      </w:pPr>
      <w:r>
        <w:t xml:space="preserve">Processes that will handle these personal information must be in compliance with the university's data privacy policies and Philippine law.</w:t>
      </w:r>
    </w:p>
    <w:p>
      <w:pPr>
        <w:pStyle w:val="Heading2"/>
      </w:pPr>
      <w:r>
        <w:t xml:space="preserve">5.5 Principle 5: Minimal Additional Burden on Staff</w:t>
      </w:r>
    </w:p>
    <w:p>
      <w:pPr>
        <w:pStyle w:val="Normal"/>
      </w:pPr>
      <w:r>
        <w:t xml:space="preserve">Statement: Any proposed process or tool change must not increase the Mentoring Unit's workload or headcount beyond the two staff.</w:t>
      </w:r>
    </w:p>
    <w:p>
      <w:pPr>
        <w:pStyle w:val="Normal"/>
      </w:pPr>
      <w:r>
        <w:t xml:space="preserve">Rationale: The Mentoring Unit staff size is extremely limited. This constraint must be worked around and must not increase the burden on them to retain operational efficiency.</w:t>
      </w:r>
    </w:p>
    <w:p>
      <w:pPr>
        <w:pStyle w:val="Normal"/>
      </w:pPr>
      <w:r>
        <w:t xml:space="preserve">Implications:</w:t>
      </w:r>
    </w:p>
    <w:p>
      <w:pPr>
        <w:pStyle w:val="ListParagraph"/>
        <w:numPr>
          <w:ilvl w:val="0"/>
          <w:numId w:val="1"/>
        </w:numPr>
      </w:pPr>
      <w:r>
        <w:t xml:space="preserve">Proposed processes or tool change must be simple to implement or use as to not increase the work burden to the unit and all other parties involved.</w:t>
      </w:r>
    </w:p>
    <w:p>
      <w:pPr>
        <w:pStyle w:val="ListParagraph"/>
        <w:numPr>
          <w:ilvl w:val="0"/>
          <w:numId w:val="1"/>
        </w:numPr>
      </w:pPr>
      <w:r>
        <w:t xml:space="preserve">Proposed processes or tool must improve the existing processes or replace them to meet the enterprise needs and goals.</w:t>
      </w:r>
    </w:p>
    <w:p>
      <w:pPr>
        <w:pStyle w:val="ListParagraph"/>
        <w:numPr>
          <w:ilvl w:val="0"/>
          <w:numId w:val="1"/>
        </w:numPr>
      </w:pPr>
      <w:r>
        <w:t xml:space="preserve">Any new tool or process should be piloted with a single school (the coordinators proposed SSE, at roughly 100 students) before being extended university-wide, so that failures are cheap to reverse and do not touch every school at once.</w:t>
      </w:r>
    </w:p>
    <w:p>
      <w:pPr>
        <w:pStyle w:val="ListParagraph"/>
        <w:numPr>
          <w:ilvl w:val="0"/>
          <w:numId w:val="1"/>
        </w:numPr>
      </w:pPr>
      <w:r>
        <w:t xml:space="preserve">Training and onboarding for any change must be scoped to the unit's own two coordinators; school mentoring coordinators currently have no involvement in the unit's databases, and any design that requires onboarding them as well should be treated as a significant burden increase requiring separate justification.</w:t>
      </w:r>
    </w:p>
    <w:p>
      <w:r>
        <w:br w:type="page"/>
      </w:r>
    </w:p>
    <w:p>
      <w:pPr>
        <w:pStyle w:val="Heading1"/>
      </w:pPr>
      <w:r>
        <w:t xml:space="preserve">6. Request for Architecture Work</w:t>
      </w:r>
    </w:p>
    <w:p>
      <w:pPr>
        <w:pStyle w:val="Normal"/>
      </w:pPr>
      <w:r>
        <w:t xml:space="preserve">Enterprise: Mentoring Unit, Center for Student Affairs (CSA), University of Asia and the Pacific</w:t>
      </w:r>
    </w:p>
    <w:p>
      <w:pPr>
        <w:pStyle w:val="Normal"/>
      </w:pPr>
      <w:r>
        <w:t xml:space="preserve">Prepared by: Student A (Organizational Architect) and Student B (Framework and Metamodel Architect)</w:t>
      </w:r>
    </w:p>
    <w:p>
      <w:pPr>
        <w:pStyle w:val="Normal"/>
      </w:pPr>
      <w:r>
        <w:t xml:space="preserve">Date: September 2026</w:t>
      </w:r>
    </w:p>
    <w:p>
      <w:pPr>
        <w:pStyle w:val="Heading2"/>
      </w:pPr>
      <w:r>
        <w:t xml:space="preserve">6.1 Sponsor and Requesting Organization</w:t>
      </w:r>
    </w:p>
    <w:p>
      <w:pPr>
        <w:pStyle w:val="Normal"/>
      </w:pPr>
      <w:r>
        <w:t xml:space="preserve">The sponsor of this request is Ms. Maria Concha De La Cruz, Executive Director of the CSA, who holds approval authority over changes to the mentoring program and reports mentoring updates to the Management Committee (ManCom). The requesting organization is the mentoring unit, represented by its Operations Coordinators, Ms. Nina and Ms. Kellai, who manage the program's daily operations.</w:t>
      </w:r>
    </w:p>
    <w:p>
      <w:pPr>
        <w:pStyle w:val="Heading2"/>
      </w:pPr>
      <w:r>
        <w:t xml:space="preserve">6.2 Mission of the Organization</w:t>
      </w:r>
    </w:p>
    <w:p>
      <w:pPr>
        <w:pStyle w:val="Normal"/>
      </w:pPr>
      <w:r>
        <w:t xml:space="preserve">No formal mission statement was provided. Based on the stakeholder interview, the mission is derived as follows: to support the holistic formation of UA&amp;P students through a structured mentoring program that pairs each student with a qualified mentor. The mentoring unit is distinct from the Office of Guidance and Counseling, which focuses on student mental health.</w:t>
      </w:r>
    </w:p>
    <w:p>
      <w:pPr>
        <w:pStyle w:val="Heading2"/>
      </w:pPr>
      <w:r>
        <w:t xml:space="preserve">6.3 Business Goals and Change Driver</w:t>
      </w:r>
    </w:p>
    <w:p>
      <w:pPr>
        <w:pStyle w:val="Normal"/>
      </w:pPr>
      <w:r>
        <w:t xml:space="preserve">On August 7, 2026, the University announced a new institutional policy, effective the first semester of AY 2026-27, requiring every undergraduate student to complete three mentoring sessions per semester. Students who do not comply are placed on follow-up status, and two consecutive semesters on follow-up may affect their eligibility to enroll. The policy also transfers the responsibility for logging sessions from mentors to students. In response, the unit aims to achieve the following:</w:t>
      </w:r>
    </w:p>
    <w:p>
      <w:pPr>
        <w:pStyle w:val="ListParagraph"/>
        <w:numPr>
          <w:ilvl w:val="0"/>
          <w:numId w:val="1"/>
        </w:numPr>
      </w:pPr>
      <w:r>
        <w:t xml:space="preserve">ensure complete and accurate session records for all undergraduate students;</w:t>
      </w:r>
    </w:p>
    <w:p>
      <w:pPr>
        <w:pStyle w:val="ListParagraph"/>
        <w:numPr>
          <w:ilvl w:val="0"/>
          <w:numId w:val="1"/>
        </w:numPr>
      </w:pPr>
      <w:r>
        <w:t xml:space="preserve">keep its records consistent with those held by the schools;</w:t>
      </w:r>
    </w:p>
    <w:p>
      <w:pPr>
        <w:pStyle w:val="ListParagraph"/>
        <w:numPr>
          <w:ilvl w:val="0"/>
          <w:numId w:val="1"/>
        </w:numPr>
      </w:pPr>
      <w:r>
        <w:t xml:space="preserve">provide data that answers ManCom's questions on program compliance;</w:t>
      </w:r>
    </w:p>
    <w:p>
      <w:pPr>
        <w:pStyle w:val="ListParagraph"/>
        <w:numPr>
          <w:ilvl w:val="0"/>
          <w:numId w:val="1"/>
        </w:numPr>
      </w:pPr>
      <w:r>
        <w:t xml:space="preserve">notify students and mentors of their assignments in a timely manner.</w:t>
      </w:r>
    </w:p>
    <w:p>
      <w:pPr>
        <w:pStyle w:val="Heading2"/>
      </w:pPr>
      <w:r>
        <w:t xml:space="preserve">6.4 Strategic Plans and Time Limits</w:t>
      </w:r>
    </w:p>
    <w:p>
      <w:pPr>
        <w:pStyle w:val="Normal"/>
      </w:pPr>
      <w:r>
        <w:t xml:space="preserve">The work follows the academic semester cycle. Students are expected to hold their first session within September and to complete all required sessions before the semester ends. Any architecture recommendations should be usable within the current academic year, while the new policy is still in its initial implementation.</w:t>
      </w:r>
    </w:p>
    <w:p>
      <w:pPr>
        <w:pStyle w:val="Heading2"/>
      </w:pPr>
      <w:r>
        <w:t xml:space="preserve">6.5 Current Business System and Architecture</w:t>
      </w:r>
    </w:p>
    <w:p>
      <w:pPr>
        <w:pStyle w:val="Normal"/>
      </w:pPr>
      <w:r>
        <w:t xml:space="preserve">Students currently log sessions through a Google Form. An Apps Script sends each submission to the named mentor by email for confirmation, and the mentor's response updates the linked Google Sheet. The mentoring unit also monitors confirmations through a separate administrative email account, since several parties share access to the Sheet. The mentoring unit previously used a dedicated Mentoring Portal, in which mentors logged sessions. That arrangement was replaced this academic year by the student-submitted Google Form. The program serves approximately 1,500 to 1,600 undergraduate students and about 180 faculty mentors, together with a group of external mentors.</w:t>
      </w:r>
    </w:p>
    <w:p>
      <w:pPr>
        <w:pStyle w:val="Heading2"/>
      </w:pPr>
      <w:r>
        <w:t xml:space="preserve">6.6 Organizational Constraints</w:t>
      </w:r>
    </w:p>
    <w:p>
      <w:pPr>
        <w:pStyle w:val="Normal"/>
      </w:pPr>
      <w:r>
        <w:t xml:space="preserve">The mentoring unit has two staff members, who handle monitoring, communication, and record reconciliation for the entire undergraduate population. The pairing of students with mentors is performed by each school's mentoring coordinators and lies outside the division's control. Pairing turnaround and mentor changes are therefore treated as external dependencies, not as targets for redesign.</w:t>
      </w:r>
    </w:p>
    <w:p>
      <w:pPr>
        <w:pStyle w:val="Heading2"/>
      </w:pPr>
      <w:r>
        <w:t xml:space="preserve">6.7 External Constraints</w:t>
      </w:r>
    </w:p>
    <w:p>
      <w:pPr>
        <w:pStyle w:val="Normal"/>
      </w:pPr>
      <w:r>
        <w:t xml:space="preserve">The work is bound by the University's mentoring policy and its governance structure. Changes require approval from the Executive Director, and drastic changes require ManCom approval. Mentor assignments are confidential, and the content of sessions is not recorded. The handling of student data must comply with the Data Privacy Act of 2012 and applicable University policies. The division also depends on the following units:</w:t>
      </w:r>
    </w:p>
    <w:p>
      <w:pPr>
        <w:pStyle w:val="ListParagraph"/>
        <w:numPr>
          <w:ilvl w:val="0"/>
          <w:numId w:val="1"/>
        </w:numPr>
      </w:pPr>
      <w:r>
        <w:t xml:space="preserve">the schools, for pairing and school-level records;</w:t>
      </w:r>
    </w:p>
    <w:p>
      <w:pPr>
        <w:pStyle w:val="ListParagraph"/>
        <w:numPr>
          <w:ilvl w:val="0"/>
          <w:numId w:val="1"/>
        </w:numPr>
      </w:pPr>
      <w:r>
        <w:t xml:space="preserve">the IT Office, for the maintenance of the Form and script;</w:t>
      </w:r>
    </w:p>
    <w:p>
      <w:pPr>
        <w:pStyle w:val="ListParagraph"/>
        <w:numPr>
          <w:ilvl w:val="0"/>
          <w:numId w:val="1"/>
        </w:numPr>
      </w:pPr>
      <w:r>
        <w:t xml:space="preserve">Human Resources, for external mentor contracts (the specific eligibility criteria applied to external mentors were not covered in the September 2026 interview and remain an open item, per Section 1.3.3);</w:t>
      </w:r>
    </w:p>
    <w:p>
      <w:pPr>
        <w:pStyle w:val="ListParagraph"/>
        <w:numPr>
          <w:ilvl w:val="0"/>
          <w:numId w:val="1"/>
        </w:numPr>
      </w:pPr>
      <w:r>
        <w:t xml:space="preserve">Financial Management and Resources, for external mentor allowances.</w:t>
      </w:r>
    </w:p>
    <w:p>
      <w:pPr>
        <w:pStyle w:val="Heading2"/>
      </w:pPr>
      <w:r>
        <w:t xml:space="preserve">6.8 Budget Information</w:t>
      </w:r>
    </w:p>
    <w:p>
      <w:pPr>
        <w:pStyle w:val="Normal"/>
      </w:pPr>
      <w:r>
        <w:t xml:space="preserve">No dedicated budget has been identified for this work. It is assumed that any proposed solution will use existing University resources, principally the Google Workspace license and IT Office support. Any proposal requiring new expenditure would be subject to approval by the Executive Director and, where applicable, ManCom.</w:t>
      </w:r>
    </w:p>
    <w:p>
      <w:pPr>
        <w:pStyle w:val="Heading2"/>
      </w:pPr>
      <w:r>
        <w:t xml:space="preserve">6.9 Developing Organization and Available Resources</w:t>
      </w:r>
    </w:p>
    <w:p>
      <w:pPr>
        <w:pStyle w:val="Normal"/>
      </w:pPr>
      <w:r>
        <w:t xml:space="preserve">The architecture work will be performed by the Student Architecture Team as part of the IT Elective: Solution Architecture course. Available resources include the stakeholder interview conducted on September 11, 2026, the institutional mentoring policy, access to the mentoring unit's operations coordinators, and the Google Workspace tools currently in use.</w:t>
      </w:r>
    </w:p>
    <w:p>
      <w:pPr>
        <w:pStyle w:val="Heading2"/>
      </w:pPr>
      <w:r>
        <w:t xml:space="preserve">6.10 Scope of the Requested Work</w:t>
      </w:r>
    </w:p>
    <w:p>
      <w:pPr>
        <w:pStyle w:val="Normal"/>
      </w:pPr>
      <w:r>
        <w:t xml:space="preserve">This request covers the TOGAF Preliminary Phase for the mentoring unit. The work will establish the architecture boundary, stakeholder map, tailored metamodel and content framework, and architecture principles (Sections 1 through 5). The boundary includes the division and its direct interfaces with the schools' coordinators, the IT Office, the Registrar, Human Resources, Financial Management and Resources, and the governance chain to ManCom. Junior College and graduate programs, as well as the redesign of school-side pairing, are outside the scope of this request.</w:t>
      </w:r>
    </w:p>
    <w:p>
      <w:r>
        <w:br w:type="page"/>
      </w:r>
    </w:p>
    <w:p>
      <w:pPr>
        <w:pStyle w:val="Heading1"/>
      </w:pPr>
      <w:r>
        <w:t xml:space="preserve">References</w:t>
      </w:r>
    </w:p>
    <w:p>
      <w:pPr>
        <w:pStyle w:val="Normal"/>
      </w:pPr>
      <w:r>
        <w:t xml:space="preserve">The Open Group. (2022). The TOGAF standard, 10th edition: Introduction and core concepts. Van Haren Publishing.</w:t>
      </w:r>
    </w:p>
    <w:p>
      <w:pPr>
        <w:pStyle w:val="Normal"/>
      </w:pPr>
      <w:r>
        <w:t xml:space="preserve">Requirements interview conducted with operations coordinators of the Mentoring Unit, Center for Student Affairs, University of Asia and the Pacific, on September 11, 2026. In accordance with APA style, an interview conducted by the authors is cited in text as a personal communication and is not included in the reference list, being unrecoverable by the reader. Participants are identified by role rather than by name, consistent with the confidentiality constraints recorded in Section 2.1.</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qFormat/>
    <w:pPr>
      <w:spacing w:after="160" w:line="276" w:lineRule="auto"/>
    </w:pPr>
    <w:rPr>
      <w:rFonts w:ascii="Calibri" w:hAnsi="Calibri"/>
      <w:sz w:val="22"/>
    </w:rPr>
  </w:style>
  <w:style w:type="paragraph" w:styleId="Title">
    <w:name w:val="Title"/>
    <w:basedOn w:val="Normal"/>
    <w:qFormat/>
    <w:pPr>
      <w:jc w:val="center"/>
      <w:spacing w:after="120"/>
    </w:pPr>
    <w:rPr>
      <w:rFonts w:ascii="Calibri" w:hAnsi="Calibri"/>
      <w:b/>
      <w:color w:val="1F4E79"/>
      <w:sz w:val="48"/>
    </w:rPr>
  </w:style>
  <w:style w:type="paragraph" w:styleId="Heading1">
    <w:name w:val="heading 1"/>
    <w:basedOn w:val="Normal"/>
    <w:next w:val="Normal"/>
    <w:qFormat/>
    <w:pPr>
      <w:keepNext/>
      <w:spacing w:before="360" w:after="160"/>
      <w:outlineLvl w:val="0"/>
    </w:pPr>
    <w:rPr>
      <w:rFonts w:ascii="Calibri" w:hAnsi="Calibri"/>
      <w:b/>
      <w:color w:val="1F4E79"/>
      <w:sz w:val="32"/>
    </w:rPr>
  </w:style>
  <w:style w:type="paragraph" w:styleId="Heading2">
    <w:name w:val="heading 2"/>
    <w:basedOn w:val="Normal"/>
    <w:next w:val="Normal"/>
    <w:qFormat/>
    <w:pPr>
      <w:keepNext/>
      <w:spacing w:before="360" w:after="160"/>
      <w:outlineLvl w:val="1"/>
    </w:pPr>
    <w:rPr>
      <w:rFonts w:ascii="Calibri" w:hAnsi="Calibri"/>
      <w:b/>
      <w:color w:val="1F4E79"/>
      <w:sz w:val="26"/>
    </w:rPr>
  </w:style>
  <w:style w:type="paragraph" w:styleId="Heading3">
    <w:name w:val="heading 3"/>
    <w:basedOn w:val="Normal"/>
    <w:next w:val="Normal"/>
    <w:qFormat/>
    <w:pPr>
      <w:keepNext/>
      <w:spacing w:before="360" w:after="160"/>
      <w:outlineLvl w:val="2"/>
    </w:pPr>
    <w:rPr>
      <w:rFonts w:ascii="Calibri" w:hAnsi="Calibri"/>
      <w:b/>
      <w:color w:val="000000"/>
      <w:sz w:val="23"/>
    </w:rPr>
  </w:style>
  <w:style w:type="paragraph" w:styleId="Caption">
    <w:name w:val="caption"/>
    <w:basedOn w:val="Normal"/>
    <w:qFormat/>
    <w:pPr>
      <w:jc w:val="center"/>
      <w:spacing w:before="120" w:after="320"/>
    </w:pPr>
    <w:rPr>
      <w:rFonts w:ascii="Calibri" w:hAnsi="Calibri"/>
      <w:color w:val="3C3C3C"/>
      <w:sz w:val="20"/>
    </w:rPr>
  </w:style>
  <w:style w:type="paragraph" w:styleId="ListParagraph">
    <w:name w:val="List Paragraph"/>
    <w:basedOn w:val="Normal"/>
    <w:qFormat/>
    <w:pPr>
      <w:ind w:left="720"/>
      <w:contextualSpacing/>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image" Target="media/figure2.png"/>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Enterprise Architecture Preliminary Phase Proposal</dc:title>
  <dc:creator>Student A; Student B</dc:creator>
</cp:coreProperties>
</file>