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Revision Notes -- Assignment 1 Compiled Proposal</w:t>
      </w:r>
    </w:p>
    <w:p>
      <w:pPr>
        <w:pStyle w:val="Normal"/>
      </w:pPr>
      <w:r>
        <w:t xml:space="preserve">This companion document records what changed when the four original submissions (Executive Summary, Deliverable 1, Deliverable 2, Deliverable 3) were compiled into the single revised proposal, and why. It is not part of the compiled proposal itself. Cross-reference numbers below refer to "Issues Log - First Draft Review.md" in the Assignment 1 folder.</w:t>
      </w:r>
    </w:p>
    <w:p>
      <w:pPr>
        <w:pStyle w:val="Heading1"/>
      </w:pPr>
      <w:r>
        <w:t xml:space="preserve">Summary of Fixes Applied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color="auto" w:fill="1F4E79"/>
            <w:vAlign w:val="center"/>
          </w:tcPr>
          <w:p>
            <w:r>
              <w:rPr>
                <w:b/>
                <w:color w:val="FFFFFF"/>
                <w:sz w:val="19"/>
              </w:rPr>
              <w:t xml:space="preserve">#</w:t>
            </w:r>
          </w:p>
        </w:tc>
        <w:tc>
          <w:tcPr>
            <w:tcW w:w="2340" w:type="dxa"/>
            <w:shd w:val="clear" w:color="auto" w:fill="1F4E79"/>
            <w:vAlign w:val="center"/>
          </w:tcPr>
          <w:p>
            <w:r>
              <w:rPr>
                <w:b/>
                <w:color w:val="FFFFFF"/>
                <w:sz w:val="19"/>
              </w:rPr>
              <w:t xml:space="preserve">Issue</w:t>
            </w:r>
          </w:p>
        </w:tc>
        <w:tc>
          <w:tcPr>
            <w:tcW w:w="2340" w:type="dxa"/>
            <w:shd w:val="clear" w:color="auto" w:fill="1F4E79"/>
            <w:vAlign w:val="center"/>
          </w:tcPr>
          <w:p>
            <w:r>
              <w:rPr>
                <w:b/>
                <w:color w:val="FFFFFF"/>
                <w:sz w:val="19"/>
              </w:rPr>
              <w:t xml:space="preserve">What Changed</w:t>
            </w:r>
          </w:p>
        </w:tc>
        <w:tc>
          <w:tcPr>
            <w:tcW w:w="2340" w:type="dxa"/>
            <w:shd w:val="clear" w:color="auto" w:fill="1F4E79"/>
            <w:vAlign w:val="center"/>
          </w:tcPr>
          <w:p>
            <w:r>
              <w:rPr>
                <w:b/>
                <w:color w:val="FFFFFF"/>
                <w:sz w:val="19"/>
              </w:rPr>
              <w:t xml:space="preserve">Where</w:t>
            </w:r>
          </w:p>
        </w:tc>
      </w:tr>
      <w:tr>
        <w:tc>
          <w:tcPr>
            <w:tcW w:w="2340" w:type="dxa"/>
            <w:vAlign w:val="center"/>
          </w:tcPr>
          <w:p>
            <w:r>
              <w:rPr>
                <w:sz w:val="19"/>
              </w:rPr>
              <w:t xml:space="preserve">1</w:t>
            </w:r>
          </w:p>
        </w:tc>
        <w:tc>
          <w:tcPr>
            <w:tcW w:w="2340" w:type="dxa"/>
            <w:vAlign w:val="center"/>
          </w:tcPr>
          <w:p>
            <w:r>
              <w:rPr>
                <w:sz w:val="19"/>
              </w:rPr>
              <w:t xml:space="preserve">Deliverable 1 excluded the pairing/mentor-change processes from scope, but Deliverable 2 committed to modeling them in Phase B, contradicting the boundary.</w:t>
            </w:r>
          </w:p>
        </w:tc>
        <w:tc>
          <w:tcPr>
            <w:tcW w:w="2340" w:type="dxa"/>
            <w:vAlign w:val="center"/>
          </w:tcPr>
          <w:p>
            <w:r>
              <w:rPr>
                <w:sz w:val="19"/>
              </w:rPr>
              <w:t xml:space="preserve">Reworded the Functional boundary to distinguish the unit's own participation (receiving pairings, assessing/relaying change requests) -- which stays in scope -- from the schools' internal matching criteria and final decisions, which stay out of scope. Updated the Phase B artifact description and the Value Stream justification to match.</w:t>
            </w:r>
          </w:p>
        </w:tc>
        <w:tc>
          <w:tcPr>
            <w:tcW w:w="2340" w:type="dxa"/>
            <w:vAlign w:val="center"/>
          </w:tcPr>
          <w:p>
            <w:r>
              <w:rPr>
                <w:sz w:val="19"/>
              </w:rPr>
              <w:t xml:space="preserve">Section 1.5.3; Section 2.2 (Value Stream); Section 4.2 (Phase B)</w:t>
            </w:r>
          </w:p>
        </w:tc>
      </w:tr>
      <w:tr>
        <w:tc>
          <w:tcPr>
            <w:tcW w:w="2340" w:type="dxa"/>
            <w:vAlign w:val="center"/>
          </w:tcPr>
          <w:p>
            <w:r>
              <w:rPr>
                <w:sz w:val="19"/>
              </w:rPr>
              <w:t xml:space="preserve">2</w:t>
            </w:r>
          </w:p>
        </w:tc>
        <w:tc>
          <w:tcPr>
            <w:tcW w:w="2340" w:type="dxa"/>
            <w:vAlign w:val="center"/>
          </w:tcPr>
          <w:p>
            <w:r>
              <w:rPr>
                <w:sz w:val="19"/>
              </w:rPr>
              <w:t xml:space="preserve">Deliverable 1's Business Catalyst section omitted the mentor-to-student logging shift, even though it is the central driver cited everywhere else.</w:t>
            </w:r>
          </w:p>
        </w:tc>
        <w:tc>
          <w:tcPr>
            <w:tcW w:w="2340" w:type="dxa"/>
            <w:vAlign w:val="center"/>
          </w:tcPr>
          <w:p>
            <w:r>
              <w:rPr>
                <w:sz w:val="19"/>
              </w:rPr>
              <w:t xml:space="preserve">Added a sentence naming the logging-responsibility transfer alongside the quota/consequence language.</w:t>
            </w:r>
          </w:p>
        </w:tc>
        <w:tc>
          <w:tcPr>
            <w:tcW w:w="2340" w:type="dxa"/>
            <w:vAlign w:val="center"/>
          </w:tcPr>
          <w:p>
            <w:r>
              <w:rPr>
                <w:sz w:val="19"/>
              </w:rPr>
              <w:t xml:space="preserve">Section 1.2</w:t>
            </w:r>
          </w:p>
        </w:tc>
      </w:tr>
      <w:tr>
        <w:tc>
          <w:tcPr>
            <w:tcW w:w="2340" w:type="dxa"/>
            <w:vAlign w:val="center"/>
          </w:tcPr>
          <w:p>
            <w:r>
              <w:rPr>
                <w:sz w:val="19"/>
              </w:rPr>
              <w:t xml:space="preserve">3</w:t>
            </w:r>
          </w:p>
        </w:tc>
        <w:tc>
          <w:tcPr>
            <w:tcW w:w="2340" w:type="dxa"/>
            <w:vAlign w:val="center"/>
          </w:tcPr>
          <w:p>
            <w:r>
              <w:rPr>
                <w:sz w:val="19"/>
              </w:rPr>
              <w:t xml:space="preserve">Deliverable 1's RACI matrix used generic 'Student A/B' roles while Deliverable 3's RFA used the real student names.</w:t>
            </w:r>
          </w:p>
        </w:tc>
        <w:tc>
          <w:tcPr>
            <w:tcW w:w="2340" w:type="dxa"/>
            <w:vAlign w:val="center"/>
          </w:tcPr>
          <w:p>
            <w:r>
              <w:rPr>
                <w:sz w:val="19"/>
              </w:rPr>
              <w:t xml:space="preserve">Standardized on role labels ('Student A -- Organizational Architect', 'Student B -- Framework and Metamodel Architect') everywhere, consistent with the no-names instruction for this compiled version.</w:t>
            </w:r>
          </w:p>
        </w:tc>
        <w:tc>
          <w:tcPr>
            <w:tcW w:w="2340" w:type="dxa"/>
            <w:vAlign w:val="center"/>
          </w:tcPr>
          <w:p>
            <w:r>
              <w:rPr>
                <w:sz w:val="19"/>
              </w:rPr>
              <w:t xml:space="preserve">Title page; Section 1.8; Section 6</w:t>
            </w:r>
          </w:p>
        </w:tc>
      </w:tr>
      <w:tr>
        <w:tc>
          <w:tcPr>
            <w:tcW w:w="2340" w:type="dxa"/>
            <w:vAlign w:val="center"/>
          </w:tcPr>
          <w:p>
            <w:r>
              <w:rPr>
                <w:sz w:val="19"/>
              </w:rPr>
              <w:t xml:space="preserve">4</w:t>
            </w:r>
          </w:p>
        </w:tc>
        <w:tc>
          <w:tcPr>
            <w:tcW w:w="2340" w:type="dxa"/>
            <w:vAlign w:val="center"/>
          </w:tcPr>
          <w:p>
            <w:r>
              <w:rPr>
                <w:sz w:val="19"/>
              </w:rPr>
              <w:t xml:space="preserve">No document explained how external (non-faculty) mentors are approved, only how school-sourced faculty mentors are.</w:t>
            </w:r>
          </w:p>
        </w:tc>
        <w:tc>
          <w:tcPr>
            <w:tcW w:w="2340" w:type="dxa"/>
            <w:vAlign w:val="center"/>
          </w:tcPr>
          <w:p>
            <w:r>
              <w:rPr>
                <w:sz w:val="19"/>
              </w:rPr>
              <w:t xml:space="preserve">Added a clarifying note that external mentors are contracted through HR rather than school-approved, and flagged the exact vetting criteria as an open item not covered in the September 2026 interview.</w:t>
            </w:r>
          </w:p>
        </w:tc>
        <w:tc>
          <w:tcPr>
            <w:tcW w:w="2340" w:type="dxa"/>
            <w:vAlign w:val="center"/>
          </w:tcPr>
          <w:p>
            <w:r>
              <w:rPr>
                <w:sz w:val="19"/>
              </w:rPr>
              <w:t xml:space="preserve">Section 1.3.3; Section 6.7</w:t>
            </w:r>
          </w:p>
        </w:tc>
      </w:tr>
      <w:tr>
        <w:tc>
          <w:tcPr>
            <w:tcW w:w="2340" w:type="dxa"/>
            <w:vAlign w:val="center"/>
          </w:tcPr>
          <w:p>
            <w:r>
              <w:rPr>
                <w:sz w:val="19"/>
              </w:rPr>
              <w:t xml:space="preserve">5</w:t>
            </w:r>
          </w:p>
        </w:tc>
        <w:tc>
          <w:tcPr>
            <w:tcW w:w="2340" w:type="dxa"/>
            <w:vAlign w:val="center"/>
          </w:tcPr>
          <w:p>
            <w:r>
              <w:rPr>
                <w:sz w:val="19"/>
              </w:rPr>
              <w:t xml:space="preserve">Deliverable 1's list of direct organizational interfaces omitted Mentors and Mentees, despite the Stakeholder Map classifying both as directly affected.</w:t>
            </w:r>
          </w:p>
        </w:tc>
        <w:tc>
          <w:tcPr>
            <w:tcW w:w="2340" w:type="dxa"/>
            <w:vAlign w:val="center"/>
          </w:tcPr>
          <w:p>
            <w:r>
              <w:rPr>
                <w:sz w:val="19"/>
              </w:rPr>
              <w:t xml:space="preserve">Added mentors and mentees to the Organizational boundary's list of direct interfaces.</w:t>
            </w:r>
          </w:p>
        </w:tc>
        <w:tc>
          <w:tcPr>
            <w:tcW w:w="2340" w:type="dxa"/>
            <w:vAlign w:val="center"/>
          </w:tcPr>
          <w:p>
            <w:r>
              <w:rPr>
                <w:sz w:val="19"/>
              </w:rPr>
              <w:t xml:space="preserve">Section 1.5.1</w:t>
            </w:r>
          </w:p>
        </w:tc>
      </w:tr>
      <w:tr>
        <w:tc>
          <w:tcPr>
            <w:tcW w:w="2340" w:type="dxa"/>
            <w:vAlign w:val="center"/>
          </w:tcPr>
          <w:p>
            <w:r>
              <w:rPr>
                <w:sz w:val="19"/>
              </w:rPr>
              <w:t xml:space="preserve">6</w:t>
            </w:r>
          </w:p>
        </w:tc>
        <w:tc>
          <w:tcPr>
            <w:tcW w:w="2340" w:type="dxa"/>
            <w:vAlign w:val="center"/>
          </w:tcPr>
          <w:p>
            <w:r>
              <w:rPr>
                <w:sz w:val="19"/>
              </w:rPr>
              <w:t xml:space="preserve">Principle 5 ('Minimal Additional Burden on Staff') had only two generic implications versus three to four concrete ones for the other principles.</w:t>
            </w:r>
          </w:p>
        </w:tc>
        <w:tc>
          <w:tcPr>
            <w:tcW w:w="2340" w:type="dxa"/>
            <w:vAlign w:val="center"/>
          </w:tcPr>
          <w:p>
            <w:r>
              <w:rPr>
                <w:sz w:val="19"/>
              </w:rPr>
              <w:t xml:space="preserve">Added two grounded implications: piloting any change with a single school (SSE) before wider rollout, and scoping training/onboarding to the unit's own two coordinators.</w:t>
            </w:r>
          </w:p>
        </w:tc>
        <w:tc>
          <w:tcPr>
            <w:tcW w:w="2340" w:type="dxa"/>
            <w:vAlign w:val="center"/>
          </w:tcPr>
          <w:p>
            <w:r>
              <w:rPr>
                <w:sz w:val="19"/>
              </w:rPr>
              <w:t xml:space="preserve">Section 5.5</w:t>
            </w:r>
          </w:p>
        </w:tc>
      </w:tr>
      <w:tr>
        <w:tc>
          <w:tcPr>
            <w:tcW w:w="2340" w:type="dxa"/>
            <w:vAlign w:val="center"/>
          </w:tcPr>
          <w:p>
            <w:r>
              <w:rPr>
                <w:sz w:val="19"/>
              </w:rPr>
              <w:t xml:space="preserve">7</w:t>
            </w:r>
          </w:p>
        </w:tc>
        <w:tc>
          <w:tcPr>
            <w:tcW w:w="2340" w:type="dxa"/>
            <w:vAlign w:val="center"/>
          </w:tcPr>
          <w:p>
            <w:r>
              <w:rPr>
                <w:sz w:val="19"/>
              </w:rPr>
              <w:t xml:space="preserve">Deliverable 3's concrete population figures (~1,500-1,600 students, ~180 mentors, 2 coordinators) were never referenced in Deliverable 1's stakeholder reasoning or Deliverable 2's Measure justification.</w:t>
            </w:r>
          </w:p>
        </w:tc>
        <w:tc>
          <w:tcPr>
            <w:tcW w:w="2340" w:type="dxa"/>
            <w:vAlign w:val="center"/>
          </w:tcPr>
          <w:p>
            <w:r>
              <w:rPr>
                <w:sz w:val="19"/>
              </w:rPr>
              <w:t xml:space="preserve">Pulled the same figures into the Stakeholder Map introduction and the Measure entity's justification.</w:t>
            </w:r>
          </w:p>
        </w:tc>
        <w:tc>
          <w:tcPr>
            <w:tcW w:w="2340" w:type="dxa"/>
            <w:vAlign w:val="center"/>
          </w:tcPr>
          <w:p>
            <w:r>
              <w:rPr>
                <w:sz w:val="19"/>
              </w:rPr>
              <w:t xml:space="preserve">Section 1.6; Section 2.2 (Measure)</w:t>
            </w:r>
          </w:p>
        </w:tc>
      </w:tr>
    </w:tbl>
    <w:p/>
    <w:p>
      <w:pPr>
        <w:pStyle w:val="Heading1"/>
      </w:pPr>
      <w:r>
        <w:t xml:space="preserve">Structural Changes</w:t>
      </w:r>
    </w:p>
    <w:p>
      <w:pPr>
        <w:pStyle w:val="Normal"/>
      </w:pPr>
      <w:r>
        <w:t xml:space="preserve">The four original files were merged into one document with continuous section numbering: Executive Summary (unnumbered) followed by Section 1 (Scope and Boundaries, from Deliverable 1), Section 2 (Tailored Enterprise Metamodel, from Deliverable 2 Sec. 2), Section 3 (Tailoring Rationale, from Deliverable 2 Sec. 3), Section 4 (Tailored Content Framework, from Deliverable 2 Sec. 4), Section 5 (Principles Catalog, from Deliverable 3), and Section 6 (Request for Architecture Work, from Deliverable 3). Internal cross-references that originally pointed to "Deliverable 1" or "Deliverable 3" were updated to point to the corresponding section number. All tables and figures were renumbered continuously (Table 1-15, Figure 1-2) and given captions.</w:t>
      </w:r>
    </w:p>
    <w:p>
      <w:pPr>
        <w:pStyle w:val="Normal"/>
      </w:pPr>
      <w:r>
        <w:t xml:space="preserve">The Stakeholder Interest Classification quadrant (originally an image) was redrawn as a native table. The Tailored Enterprise Metamodel (originally an image) was redrawn as a full box-and-connector diagram with all 24 entity relationships and labels reproduced exactly as in the original, then embedded as a single image for reliability.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60" w:line="276" w:lineRule="auto"/>
    </w:pPr>
    <w:rPr>
      <w:rFonts w:ascii="Calibri" w:hAnsi="Calibri"/>
      <w:sz w:val="22"/>
    </w:rPr>
  </w:style>
  <w:style w:type="paragraph" w:styleId="Title">
    <w:name w:val="Title"/>
    <w:basedOn w:val="Normal"/>
    <w:qFormat/>
    <w:pPr>
      <w:jc w:val="center"/>
      <w:spacing w:after="120"/>
    </w:pPr>
    <w:rPr>
      <w:rFonts w:ascii="Calibri" w:hAnsi="Calibri"/>
      <w:b/>
      <w:color w:val="1F4E79"/>
      <w:sz w:val="48"/>
    </w:rPr>
  </w:style>
  <w:style w:type="paragraph" w:styleId="Heading1">
    <w:name w:val="heading 1"/>
    <w:basedOn w:val="Normal"/>
    <w:next w:val="Normal"/>
    <w:qFormat/>
    <w:pPr>
      <w:keepNext/>
      <w:spacing w:before="360" w:after="160"/>
      <w:outlineLvl w:val="0"/>
    </w:pPr>
    <w:rPr>
      <w:rFonts w:ascii="Calibri" w:hAnsi="Calibri"/>
      <w:b/>
      <w:color w:val="1F4E79"/>
      <w:sz w:val="32"/>
    </w:rPr>
  </w:style>
  <w:style w:type="paragraph" w:styleId="Heading2">
    <w:name w:val="heading 2"/>
    <w:basedOn w:val="Normal"/>
    <w:next w:val="Normal"/>
    <w:qFormat/>
    <w:pPr>
      <w:keepNext/>
      <w:spacing w:before="360" w:after="160"/>
      <w:outlineLvl w:val="1"/>
    </w:pPr>
    <w:rPr>
      <w:rFonts w:ascii="Calibri" w:hAnsi="Calibri"/>
      <w:b/>
      <w:color w:val="1F4E79"/>
      <w:sz w:val="26"/>
    </w:rPr>
  </w:style>
  <w:style w:type="paragraph" w:styleId="Heading3">
    <w:name w:val="heading 3"/>
    <w:basedOn w:val="Normal"/>
    <w:next w:val="Normal"/>
    <w:qFormat/>
    <w:pPr>
      <w:keepNext/>
      <w:spacing w:before="360" w:after="160"/>
      <w:outlineLvl w:val="2"/>
    </w:pPr>
    <w:rPr>
      <w:rFonts w:ascii="Calibri" w:hAnsi="Calibri"/>
      <w:b/>
      <w:color w:val="000000"/>
      <w:sz w:val="23"/>
    </w:rPr>
  </w:style>
  <w:style w:type="paragraph" w:styleId="Caption">
    <w:name w:val="caption"/>
    <w:basedOn w:val="Normal"/>
    <w:qFormat/>
    <w:pPr>
      <w:jc w:val="center"/>
      <w:spacing w:before="120" w:after="320"/>
    </w:pPr>
    <w:rPr>
      <w:rFonts w:ascii="Calibri" w:hAnsi="Calibri"/>
      <w:color w:val="3C3C3C"/>
      <w:sz w:val="20"/>
    </w:rPr>
  </w:style>
  <w:style w:type="paragraph" w:styleId="ListParagraph">
    <w:name w:val="List Paragraph"/>
    <w:basedOn w:val="Normal"/>
    <w:qFormat/>
    <w:pPr>
      <w:ind w:left="720"/>
      <w:contextualSpacing/>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Enterprise Architecture Preliminary Phase Proposal</dc:title>
  <dc:creator>Student A; Student B</dc:creator>
</cp:coreProperties>
</file>