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CE5AD" w14:textId="77777777" w:rsidR="00D91E30" w:rsidRDefault="00000000">
      <w:pPr>
        <w:spacing w:after="80"/>
        <w:jc w:val="center"/>
      </w:pPr>
      <w:r>
        <w:rPr>
          <w:b/>
          <w:bCs/>
        </w:rPr>
        <w:t>AgentGWAS: An Agentic Pipeline for End-to-End Post-GWAS Translational Analysis Using NIH Common Fund Program Data</w:t>
      </w:r>
    </w:p>
    <w:p w14:paraId="28E3DE70" w14:textId="77777777" w:rsidR="00D91E30" w:rsidRDefault="00000000">
      <w:pPr>
        <w:spacing w:after="40"/>
        <w:jc w:val="both"/>
      </w:pPr>
      <w:r>
        <w:rPr>
          <w:u w:val="single"/>
        </w:rPr>
        <w:t>Background and Significance</w:t>
      </w:r>
    </w:p>
    <w:p w14:paraId="48D93831" w14:textId="77777777" w:rsidR="00D91E30" w:rsidRDefault="00000000">
      <w:pPr>
        <w:spacing w:after="60"/>
        <w:jc w:val="both"/>
      </w:pPr>
      <w:r>
        <w:t>Genome-wide association studies (GWAS) have identified tens of thousands of robust variant-trait associations across common complex diseases, yet fewer than 10% of these signals have been mechanistically resolved to causal genes, regulatory mechanisms, or druggable targets. The translational gap arises not from absence of data but from the complexity of integrating heterogeneous multi-modal resources spanning chromatin architecture, tissue-specific gene expression, pharmacological perturbation databases, and longitudinal clinical cohorts — a task that currently demands bespoke bioinformatics expertise and months of manual effort per disease. The NIH Common Fund has invested substantially in generating precisely the orthogonal molecular datasets required to close this gap, through twenty programs including the 4D Nucleome (4DN), Genotype-Tissue Expression (GTEx), Human BioMolecular Atlas Program (HuBMAP), Library of Integrated Network-based Cellular Signatures (LINCS), Illuminating the Druggable Genome (IDG), and Molecular Transducers of Physical Activity in Humans (MoTrPAC), among others. Despite their collective breadth — spanning genomics, epigenomics, transcriptomics, proteomics, perturbation biology, and deep phenotyping — these programs remain functionally siloed from one another and from GWAS analysis workflows, accessible primarily to specialists capable of navigating their heterogeneous access tiers, file formats, and identifier namespaces. No automated, end-to-end software infrastructure currently exists to orchestrate across these resources through a principled translational inference chain.</w:t>
      </w:r>
    </w:p>
    <w:p w14:paraId="504D90E8" w14:textId="77777777" w:rsidR="00D91E30" w:rsidRDefault="00000000">
      <w:pPr>
        <w:spacing w:after="40"/>
        <w:jc w:val="both"/>
      </w:pPr>
      <w:r>
        <w:rPr>
          <w:u w:val="single"/>
        </w:rPr>
        <w:t>Long-Term Goal, Objective, and Central Hypothesis</w:t>
      </w:r>
    </w:p>
    <w:p w14:paraId="4ABCFDB4" w14:textId="77777777" w:rsidR="00D91E30" w:rsidRDefault="00000000">
      <w:pPr>
        <w:spacing w:after="60"/>
        <w:jc w:val="both"/>
      </w:pPr>
      <w:r>
        <w:t xml:space="preserve">The </w:t>
      </w:r>
      <w:r>
        <w:rPr>
          <w:b/>
          <w:bCs/>
        </w:rPr>
        <w:t>long-term goal</w:t>
      </w:r>
      <w:r>
        <w:t xml:space="preserve"> of this research is to enable any investigator with a GWAS summary statistic to obtain a prioritized, evidence-graded list of causal genes, druggable targets, and protein biomarkers without requiring specialist bioinformatics infrastructure. The </w:t>
      </w:r>
      <w:r>
        <w:rPr>
          <w:b/>
          <w:bCs/>
        </w:rPr>
        <w:t>objective</w:t>
      </w:r>
      <w:r>
        <w:t xml:space="preserve"> of the present application is to develop, benchmark, and openly release </w:t>
      </w:r>
      <w:r>
        <w:rPr>
          <w:b/>
          <w:bCs/>
        </w:rPr>
        <w:t>AgentGWAS</w:t>
      </w:r>
      <w:r>
        <w:t xml:space="preserve">, a modular agentic software pipeline that autonomously orchestrates a five-stage post-GWAS workflow — (1) variant-to-gene resolution, (2) variant-to-transcriptome propagation, (3) druggability assessment, (4) in-silico perturbation simulation, and (5) transcriptome-to-proteome biomarker projection — by integrating twenty NIH Common Fund datasets as authoritative analytical inputs. The </w:t>
      </w:r>
      <w:r>
        <w:rPr>
          <w:b/>
          <w:bCs/>
        </w:rPr>
        <w:t>central hypothesis</w:t>
      </w:r>
      <w:r>
        <w:t xml:space="preserve"> is that a large language model (LLM)-orchestrated, multi-agent pipeline that routes evidence through structured analytical stages, propagates calibrated uncertainty across stage boundaries, and enforces human-in-the-loop plan review can substantially reduce the time and expertise required to generate actionable post-GWAS translational hypotheses, while maintaining the methodological rigor of current best-practice workflows. This hypothesis is supported by recent advances in LLM reasoning, agent orchestration frameworks (LangGraph), and the demonstrated ability of multi-agent systems to execute complex domain-specific tool chains across heterogeneous APIs.</w:t>
      </w:r>
    </w:p>
    <w:p w14:paraId="4F5DD208" w14:textId="77777777" w:rsidR="00D91E30" w:rsidRDefault="00000000">
      <w:pPr>
        <w:spacing w:after="40"/>
        <w:jc w:val="both"/>
      </w:pPr>
      <w:r>
        <w:rPr>
          <w:u w:val="single"/>
        </w:rPr>
        <w:t>Specific Aim</w:t>
      </w:r>
    </w:p>
    <w:p w14:paraId="5D4F6F78" w14:textId="77777777" w:rsidR="00D91E30" w:rsidRDefault="00000000">
      <w:pPr>
        <w:spacing w:after="60"/>
        <w:jc w:val="both"/>
      </w:pPr>
      <w:r>
        <w:rPr>
          <w:b/>
          <w:bCs/>
        </w:rPr>
        <w:t>Aim 1. Develop, validate, and openly disseminate AgentGWAS, an agentic post-GWAS translational pipeline integrating twenty NIH Common Fund program datasets.</w:t>
      </w:r>
      <w:r>
        <w:t xml:space="preserve"> The pipeline will be implemented as a Python package with a Streamlit graphical interface and an AWS-deployable production configuration. A planner agent will parse natural-language analysis requests into structured, human-reviewable session plans that identify the relevant datasets, statistical thresholds, and genome build for each proposed run. Five LangGraph-orchestrated stage subagents will then execute, in sequence and with bidirectional error propagation: fine-mapping and multi-modal variant-to-gene scoring (Stage 1, integrating 4DN, HuBMAP, SenNet, and GTEx); eQTL colocalization and transcriptome-wide association (Stage 2, integrating GTEx, H3Africa, MoTrPAC, and SenNet); druggability annotation (Stage 3, integrating IDG, KOMP2, and LINCS); connectivity-based in-silico perturbation (Stage 4, integrating LINCS, Bridge2AI, and MoTrPAC); and transcriptome-to-proteome projection and biomarker prioritization (Stage 5, integrating MoTrPAC, A2CPS, iHMP, ExRNA, and Metabolomics Workbench). All intermediate results will be persisted as typed nodes and edges in a property knowledge graph (Neo4j locally; Amazon Neptune for cloud deployment), with calibrated uncertainty scores as edge properties. An access governance layer will consult a formal access manifest before invoking any controlled-access resource. Reproducibility will be enforced through structured logging of tool versions, parameter configurations, random seeds, and artifact hashes. </w:t>
      </w:r>
      <w:r>
        <w:rPr>
          <w:b/>
          <w:bCs/>
        </w:rPr>
        <w:t>Validation</w:t>
      </w:r>
      <w:r>
        <w:t xml:space="preserve"> will employ established benchmark loci for type 2 diabetes (</w:t>
      </w:r>
      <w:r>
        <w:rPr>
          <w:i/>
          <w:iCs/>
        </w:rPr>
        <w:t>TCF7L2</w:t>
      </w:r>
      <w:r>
        <w:t xml:space="preserve">, </w:t>
      </w:r>
      <w:r>
        <w:rPr>
          <w:i/>
          <w:iCs/>
        </w:rPr>
        <w:t>SLC30A8</w:t>
      </w:r>
      <w:r>
        <w:t>), inflammatory bowel disease (</w:t>
      </w:r>
      <w:r>
        <w:rPr>
          <w:i/>
          <w:iCs/>
        </w:rPr>
        <w:t>NOD2</w:t>
      </w:r>
      <w:r>
        <w:t xml:space="preserve">, </w:t>
      </w:r>
      <w:r>
        <w:rPr>
          <w:i/>
          <w:iCs/>
        </w:rPr>
        <w:t>IL23R</w:t>
      </w:r>
      <w:r>
        <w:t>), and lipid metabolic traits (</w:t>
      </w:r>
      <w:r>
        <w:rPr>
          <w:i/>
          <w:iCs/>
        </w:rPr>
        <w:t>PCSK9</w:t>
      </w:r>
      <w:r>
        <w:t xml:space="preserve">, </w:t>
      </w:r>
      <w:r>
        <w:rPr>
          <w:i/>
          <w:iCs/>
        </w:rPr>
        <w:t>APOC3</w:t>
      </w:r>
      <w:r>
        <w:t>), evaluating recovery of known causal genes and approved therapeutic targets as primary performance metrics.</w:t>
      </w:r>
    </w:p>
    <w:p w14:paraId="4B744461" w14:textId="77777777" w:rsidR="00D91E30" w:rsidRDefault="00000000">
      <w:pPr>
        <w:spacing w:after="40"/>
        <w:jc w:val="both"/>
      </w:pPr>
      <w:r>
        <w:rPr>
          <w:u w:val="single"/>
        </w:rPr>
        <w:t>Expected Outcomes and Significance</w:t>
      </w:r>
    </w:p>
    <w:p w14:paraId="46702BC2" w14:textId="77777777" w:rsidR="00D91E30" w:rsidRDefault="00000000">
      <w:pPr>
        <w:jc w:val="both"/>
      </w:pPr>
      <w:r>
        <w:lastRenderedPageBreak/>
        <w:t>Successful completion of Aim 1 will deliver a publicly released, documented, and benchmarked software infrastructure that any investigator can deploy — locally via Docker Compose or at scale on AWS — to conduct reproducible, end-to-end post-GWAS analysis. By providing structured programmatic interfaces to all twenty Common Fund program datasets through a unified agentic orchestration layer, AgentGWAS will substantially lower the barrier to evidence integration across these resources, convert months of manual expert effort into hours of automated analysis, and directly accelerate the translational impact of the NIH Common Fund portfolio. The open-source release, together with a benchmarked demonstration on metabolic and musculoskeletal disease loci, will establish a reusable computational infrastructure readily extensible to new Common Fund datasets and emerging analytical stages as the field advances.</w:t>
      </w:r>
    </w:p>
    <w:sectPr w:rsidR="00D91E30">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E3773"/>
    <w:multiLevelType w:val="hybridMultilevel"/>
    <w:tmpl w:val="E3A6EA8C"/>
    <w:lvl w:ilvl="0" w:tplc="AF1A052A">
      <w:start w:val="1"/>
      <w:numFmt w:val="bullet"/>
      <w:lvlText w:val="●"/>
      <w:lvlJc w:val="left"/>
      <w:pPr>
        <w:ind w:left="720" w:hanging="360"/>
      </w:pPr>
    </w:lvl>
    <w:lvl w:ilvl="1" w:tplc="6D223FB6">
      <w:start w:val="1"/>
      <w:numFmt w:val="bullet"/>
      <w:lvlText w:val="○"/>
      <w:lvlJc w:val="left"/>
      <w:pPr>
        <w:ind w:left="1440" w:hanging="360"/>
      </w:pPr>
    </w:lvl>
    <w:lvl w:ilvl="2" w:tplc="86D65526">
      <w:start w:val="1"/>
      <w:numFmt w:val="bullet"/>
      <w:lvlText w:val="■"/>
      <w:lvlJc w:val="left"/>
      <w:pPr>
        <w:ind w:left="2160" w:hanging="360"/>
      </w:pPr>
    </w:lvl>
    <w:lvl w:ilvl="3" w:tplc="24B490A8">
      <w:start w:val="1"/>
      <w:numFmt w:val="bullet"/>
      <w:lvlText w:val="●"/>
      <w:lvlJc w:val="left"/>
      <w:pPr>
        <w:ind w:left="2880" w:hanging="360"/>
      </w:pPr>
    </w:lvl>
    <w:lvl w:ilvl="4" w:tplc="20FCEEDE">
      <w:start w:val="1"/>
      <w:numFmt w:val="bullet"/>
      <w:lvlText w:val="○"/>
      <w:lvlJc w:val="left"/>
      <w:pPr>
        <w:ind w:left="3600" w:hanging="360"/>
      </w:pPr>
    </w:lvl>
    <w:lvl w:ilvl="5" w:tplc="4EC66EF2">
      <w:start w:val="1"/>
      <w:numFmt w:val="bullet"/>
      <w:lvlText w:val="■"/>
      <w:lvlJc w:val="left"/>
      <w:pPr>
        <w:ind w:left="4320" w:hanging="360"/>
      </w:pPr>
    </w:lvl>
    <w:lvl w:ilvl="6" w:tplc="983A53E4">
      <w:start w:val="1"/>
      <w:numFmt w:val="bullet"/>
      <w:lvlText w:val="●"/>
      <w:lvlJc w:val="left"/>
      <w:pPr>
        <w:ind w:left="5040" w:hanging="360"/>
      </w:pPr>
    </w:lvl>
    <w:lvl w:ilvl="7" w:tplc="A316F184">
      <w:start w:val="1"/>
      <w:numFmt w:val="bullet"/>
      <w:lvlText w:val="●"/>
      <w:lvlJc w:val="left"/>
      <w:pPr>
        <w:ind w:left="5760" w:hanging="360"/>
      </w:pPr>
    </w:lvl>
    <w:lvl w:ilvl="8" w:tplc="E3F48886">
      <w:start w:val="1"/>
      <w:numFmt w:val="bullet"/>
      <w:lvlText w:val="●"/>
      <w:lvlJc w:val="left"/>
      <w:pPr>
        <w:ind w:left="6480" w:hanging="360"/>
      </w:pPr>
    </w:lvl>
  </w:abstractNum>
  <w:num w:numId="1" w16cid:durableId="18229642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E30"/>
    <w:rsid w:val="00957CED"/>
    <w:rsid w:val="00A67281"/>
    <w:rsid w:val="00B95A9B"/>
    <w:rsid w:val="00D91E30"/>
    <w:rsid w:val="00DB1FE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D0863DF"/>
  <w15:docId w15:val="{0DA0F843-C362-B448-901F-7F2CFAB29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767</Words>
  <Characters>5346</Characters>
  <Application>Microsoft Office Word</Application>
  <DocSecurity>0</DocSecurity>
  <Lines>63</Lines>
  <Paragraphs>10</Paragraphs>
  <ScaleCrop>false</ScaleCrop>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Wei-Zhi Lin</cp:lastModifiedBy>
  <cp:revision>4</cp:revision>
  <dcterms:created xsi:type="dcterms:W3CDTF">2026-04-22T17:25:00Z</dcterms:created>
  <dcterms:modified xsi:type="dcterms:W3CDTF">2026-04-22T17:31:00Z</dcterms:modified>
</cp:coreProperties>
</file>