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CE5AD" w14:textId="084766B1" w:rsidR="00D91E30" w:rsidRDefault="00A67281" w:rsidP="00D33FBF">
      <w:pPr>
        <w:pStyle w:val="a3"/>
      </w:pPr>
      <w:proofErr w:type="spellStart"/>
      <w:r>
        <w:t>AgentGWAS</w:t>
      </w:r>
      <w:proofErr w:type="spellEnd"/>
      <w:r>
        <w:t>: An Agentic AI for End-to-End Post-GWAS Translational Analysis Using NIH Common Fund Program Data</w:t>
      </w:r>
    </w:p>
    <w:p w14:paraId="28E3DE70" w14:textId="4BAC91BD" w:rsidR="00D91E30" w:rsidRPr="00C72C81" w:rsidRDefault="00000000" w:rsidP="00D33FBF">
      <w:pPr>
        <w:pStyle w:val="1"/>
        <w:rPr>
          <w:b/>
          <w:bCs/>
        </w:rPr>
      </w:pPr>
      <w:r w:rsidRPr="00C72C81">
        <w:rPr>
          <w:b/>
          <w:bCs/>
        </w:rPr>
        <w:t>Significance</w:t>
      </w:r>
    </w:p>
    <w:p w14:paraId="72F4A6F5" w14:textId="6C25AC18" w:rsidR="00415EFB" w:rsidRDefault="00415EFB" w:rsidP="00C72C81">
      <w:pPr>
        <w:jc w:val="both"/>
      </w:pPr>
      <w:r w:rsidRPr="00415EFB">
        <w:t xml:space="preserve">Genome-wide association studies (GWAS) have identified tens of thousands of robust variant-trait associations, yet fewer than 10% have been mechanistically resolved to causal genes, regulatory mechanisms, or druggable targets. </w:t>
      </w:r>
      <w:r w:rsidR="003D269F" w:rsidRPr="003D269F">
        <w:t>The NIH Common Fund has precisely generated the orthogonal molecular datasets needed to bridge this gap</w:t>
      </w:r>
      <w:r w:rsidRPr="00415EFB">
        <w:t xml:space="preserve"> through twenty programs spanning chromatin architecture (4DN), single-cell atlases (</w:t>
      </w:r>
      <w:proofErr w:type="spellStart"/>
      <w:r w:rsidRPr="00415EFB">
        <w:t>HuBMAP</w:t>
      </w:r>
      <w:proofErr w:type="spellEnd"/>
      <w:r w:rsidRPr="00415EFB">
        <w:t xml:space="preserve">, </w:t>
      </w:r>
      <w:proofErr w:type="spellStart"/>
      <w:r w:rsidRPr="00415EFB">
        <w:t>SenNet</w:t>
      </w:r>
      <w:proofErr w:type="spellEnd"/>
      <w:r w:rsidRPr="00415EFB">
        <w:t>), multi-tissue expression (</w:t>
      </w:r>
      <w:proofErr w:type="spellStart"/>
      <w:r w:rsidRPr="00415EFB">
        <w:t>GTEx</w:t>
      </w:r>
      <w:proofErr w:type="spellEnd"/>
      <w:r w:rsidRPr="00415EFB">
        <w:t xml:space="preserve">, </w:t>
      </w:r>
      <w:proofErr w:type="spellStart"/>
      <w:r w:rsidRPr="00415EFB">
        <w:t>MoTrPAC</w:t>
      </w:r>
      <w:proofErr w:type="spellEnd"/>
      <w:r w:rsidRPr="00415EFB">
        <w:t xml:space="preserve">), perturbation biology (LINCS), target pharmacology (IDG), and longitudinal clinical cohorts (A2CPS, </w:t>
      </w:r>
      <w:proofErr w:type="spellStart"/>
      <w:r w:rsidRPr="00415EFB">
        <w:t>iHMP</w:t>
      </w:r>
      <w:proofErr w:type="spellEnd"/>
      <w:r w:rsidRPr="00415EFB">
        <w:t xml:space="preserve">), </w:t>
      </w:r>
      <w:r w:rsidR="003D269F">
        <w:rPr>
          <w:rFonts w:hint="eastAsia"/>
        </w:rPr>
        <w:t>etc</w:t>
      </w:r>
      <w:r w:rsidRPr="00415EFB">
        <w:t>. Despite this investment, these resources remain isolated from each other and from GWAS workflows, accessible chiefly to experts fluent in their diverse access tiers, file formats, and identifier systems. No automated, end-to-end software infrastructure currently exists to orchestrate across them through a principled translational inference chain.</w:t>
      </w:r>
    </w:p>
    <w:p w14:paraId="504D90E8" w14:textId="5658CC64" w:rsidR="00D91E30" w:rsidRPr="00C72C81" w:rsidRDefault="00000000" w:rsidP="00D33FBF">
      <w:pPr>
        <w:pStyle w:val="1"/>
        <w:rPr>
          <w:rFonts w:hint="eastAsia"/>
          <w:b/>
          <w:bCs/>
        </w:rPr>
      </w:pPr>
      <w:r w:rsidRPr="00C72C81">
        <w:rPr>
          <w:b/>
          <w:bCs/>
        </w:rPr>
        <w:t xml:space="preserve">Goal, Objective, and </w:t>
      </w:r>
      <w:r w:rsidR="004A0756" w:rsidRPr="00C72C81">
        <w:rPr>
          <w:rFonts w:hint="eastAsia"/>
          <w:b/>
          <w:bCs/>
        </w:rPr>
        <w:t>Proposed Work</w:t>
      </w:r>
    </w:p>
    <w:p w14:paraId="735F9D61" w14:textId="0633B35A" w:rsidR="00415EFB" w:rsidRPr="00415EFB" w:rsidRDefault="00415EFB" w:rsidP="00415EFB">
      <w:pPr>
        <w:spacing w:after="60"/>
        <w:jc w:val="both"/>
      </w:pPr>
      <w:r w:rsidRPr="00415EFB">
        <w:t xml:space="preserve">The </w:t>
      </w:r>
      <w:r w:rsidRPr="00415EFB">
        <w:rPr>
          <w:b/>
          <w:bCs/>
        </w:rPr>
        <w:t>goal</w:t>
      </w:r>
      <w:r>
        <w:rPr>
          <w:rFonts w:hint="eastAsia"/>
          <w:b/>
          <w:bCs/>
        </w:rPr>
        <w:t xml:space="preserve"> </w:t>
      </w:r>
      <w:r w:rsidRPr="00415EFB">
        <w:t>is to enable any investigator with GWAS summary statistics to obtain a prioritized, evidence-graded list of causal genes, druggable targets, and protein biomarkers without requiring specialist bioinformatics infrastructure.</w:t>
      </w:r>
    </w:p>
    <w:p w14:paraId="36258C99" w14:textId="4656CAF2" w:rsidR="00415EFB" w:rsidRPr="00415EFB" w:rsidRDefault="00415EFB" w:rsidP="00415EFB">
      <w:pPr>
        <w:spacing w:after="60"/>
        <w:jc w:val="both"/>
      </w:pPr>
      <w:r w:rsidRPr="00415EFB">
        <w:t>The</w:t>
      </w:r>
      <w:r>
        <w:rPr>
          <w:rFonts w:hint="eastAsia"/>
        </w:rPr>
        <w:t xml:space="preserve"> </w:t>
      </w:r>
      <w:r w:rsidRPr="00415EFB">
        <w:rPr>
          <w:b/>
          <w:bCs/>
        </w:rPr>
        <w:t>objective</w:t>
      </w:r>
      <w:r>
        <w:rPr>
          <w:rFonts w:hint="eastAsia"/>
        </w:rPr>
        <w:t xml:space="preserve"> </w:t>
      </w:r>
      <w:r w:rsidRPr="00415EFB">
        <w:t>of the present application is to develop, benchmark, and openly release</w:t>
      </w:r>
      <w:r>
        <w:rPr>
          <w:rFonts w:hint="eastAsia"/>
        </w:rPr>
        <w:t xml:space="preserve"> </w:t>
      </w:r>
      <w:proofErr w:type="spellStart"/>
      <w:r w:rsidRPr="00415EFB">
        <w:rPr>
          <w:b/>
          <w:bCs/>
        </w:rPr>
        <w:t>AgentGWAS</w:t>
      </w:r>
      <w:proofErr w:type="spellEnd"/>
      <w:r w:rsidRPr="00415EFB">
        <w:t xml:space="preserve">, a modular agentic pipeline that autonomously orchestrates a five-stage post-GWAS workflow integrating twenty NIH Common Fund datasets: (1) variant-to-gene resolution, (2) variant-to-transcriptome propagation, (3) </w:t>
      </w:r>
      <w:proofErr w:type="spellStart"/>
      <w:r w:rsidRPr="00415EFB">
        <w:t>druggability</w:t>
      </w:r>
      <w:proofErr w:type="spellEnd"/>
      <w:r w:rsidRPr="00415EFB">
        <w:t xml:space="preserve"> assessment, (4) in-silico perturbation simulation, and (5) transcriptome-to-proteome biomarker projection.</w:t>
      </w:r>
    </w:p>
    <w:p w14:paraId="598F94E2" w14:textId="26995618" w:rsidR="00415EFB" w:rsidRPr="00415EFB" w:rsidRDefault="00415EFB" w:rsidP="00415EFB">
      <w:pPr>
        <w:spacing w:after="60"/>
        <w:jc w:val="both"/>
      </w:pPr>
      <w:r w:rsidRPr="00415EFB">
        <w:t>The</w:t>
      </w:r>
      <w:r>
        <w:rPr>
          <w:rFonts w:hint="eastAsia"/>
        </w:rPr>
        <w:t xml:space="preserve"> </w:t>
      </w:r>
      <w:r w:rsidR="004A0756">
        <w:rPr>
          <w:rFonts w:hint="eastAsia"/>
          <w:b/>
          <w:bCs/>
        </w:rPr>
        <w:t>proposed work</w:t>
      </w:r>
      <w:r>
        <w:rPr>
          <w:rFonts w:hint="eastAsia"/>
        </w:rPr>
        <w:t xml:space="preserve"> </w:t>
      </w:r>
      <w:r w:rsidRPr="00415EFB">
        <w:t xml:space="preserve">is to implement a large language model (LLM)-orchestrated, multi-agent pipeline built on a stateful orchestration framework with </w:t>
      </w:r>
      <w:r w:rsidR="003618C1">
        <w:rPr>
          <w:rFonts w:hint="eastAsia"/>
        </w:rPr>
        <w:t>a</w:t>
      </w:r>
      <w:r w:rsidRPr="00415EFB">
        <w:t xml:space="preserve"> LLM backbone, incorporating calibrated uncertainty propagation across stages and a mandatory human-in-the-loop plan review checkpoint (implemented as a non-</w:t>
      </w:r>
      <w:proofErr w:type="spellStart"/>
      <w:r w:rsidRPr="00415EFB">
        <w:t>bypassable</w:t>
      </w:r>
      <w:proofErr w:type="spellEnd"/>
      <w:r w:rsidRPr="00415EFB">
        <w:t xml:space="preserve"> interrupt node) prior to any computational dispatch.</w:t>
      </w:r>
    </w:p>
    <w:p w14:paraId="4F5DD208" w14:textId="77777777" w:rsidR="00D91E30" w:rsidRPr="00C72C81" w:rsidRDefault="00000000" w:rsidP="00D33FBF">
      <w:pPr>
        <w:pStyle w:val="1"/>
        <w:rPr>
          <w:b/>
          <w:bCs/>
        </w:rPr>
      </w:pPr>
      <w:r w:rsidRPr="00C72C81">
        <w:rPr>
          <w:b/>
          <w:bCs/>
        </w:rPr>
        <w:t>Specific Aim</w:t>
      </w:r>
    </w:p>
    <w:p w14:paraId="66596901" w14:textId="0AF3DDFB" w:rsidR="0067661C" w:rsidRDefault="0067661C" w:rsidP="000D7D94">
      <w:pPr>
        <w:jc w:val="both"/>
        <w:rPr>
          <w:b/>
          <w:bCs/>
        </w:rPr>
      </w:pPr>
      <w:r w:rsidRPr="0067661C">
        <w:rPr>
          <w:b/>
          <w:bCs/>
        </w:rPr>
        <w:t>Develop an agentic post-GWAS translational pipeline integrating twenty NIH Common Fund program datasets.</w:t>
      </w:r>
      <w:r>
        <w:rPr>
          <w:rFonts w:hint="eastAsia"/>
          <w:b/>
          <w:bCs/>
        </w:rPr>
        <w:t xml:space="preserve"> </w:t>
      </w:r>
      <w:r w:rsidRPr="0067661C">
        <w:t xml:space="preserve">The pipeline will be implemented as open-source software released </w:t>
      </w:r>
      <w:r w:rsidRPr="0067661C">
        <w:rPr>
          <w:i/>
          <w:iCs/>
        </w:rPr>
        <w:t>via</w:t>
      </w:r>
      <w:r w:rsidRPr="0067661C">
        <w:t xml:space="preserve"> GitHub, with graphical </w:t>
      </w:r>
      <w:r w:rsidR="006D3887">
        <w:rPr>
          <w:rFonts w:hint="eastAsia"/>
        </w:rPr>
        <w:t xml:space="preserve">user </w:t>
      </w:r>
      <w:r w:rsidRPr="0067661C">
        <w:t xml:space="preserve">interfaces for local and cloud deployment. A planner agent translates natural-language analysis requests into structured, human-reviewable session plans; execution proceeds only upon explicit investigator approval. Five specialized subagents then execute the analytical stages in sequence, each passing quantified confidence estimates forward to inform subsequent stages. Statistically intensive operations, including fine-mapping, colocalization, and transcriptome-wide association analysis, are delegated to dedicated computational workflows running separately from the </w:t>
      </w:r>
      <w:r>
        <w:rPr>
          <w:rFonts w:hint="eastAsia"/>
        </w:rPr>
        <w:t>LLM</w:t>
      </w:r>
      <w:r w:rsidRPr="0067661C">
        <w:t xml:space="preserve"> </w:t>
      </w:r>
      <w:r w:rsidR="006D3887" w:rsidRPr="006D3887">
        <w:t xml:space="preserve">orchestration </w:t>
      </w:r>
      <w:r w:rsidRPr="0067661C">
        <w:t xml:space="preserve">layer, enabling scalable execution on local or cloud </w:t>
      </w:r>
      <w:r w:rsidRPr="0067661C">
        <w:t>computing</w:t>
      </w:r>
      <w:r w:rsidRPr="0067661C">
        <w:t xml:space="preserve"> infrastructure. All results are recorded in a shared knowledge graph that supports evidence queries spanning the full variant-to-biomarker chain. An access governance module identifies controlled-access dataset authorization gaps at the planning stage, before execution begins. Full provenance records of software versions, parameters, and intermediate outputs are maintained throughout to ensure reproducibility.</w:t>
      </w:r>
    </w:p>
    <w:p w14:paraId="0A14EB06" w14:textId="04156E1F" w:rsidR="00415EFB" w:rsidRPr="000951B5" w:rsidRDefault="00415EFB" w:rsidP="000D7D94">
      <w:pPr>
        <w:jc w:val="both"/>
        <w:rPr>
          <w:rFonts w:hint="eastAsia"/>
        </w:rPr>
      </w:pPr>
      <w:r w:rsidRPr="00415EFB">
        <w:rPr>
          <w:b/>
          <w:bCs/>
        </w:rPr>
        <w:t>Validation</w:t>
      </w:r>
      <w:r>
        <w:rPr>
          <w:rFonts w:hint="eastAsia"/>
        </w:rPr>
        <w:t xml:space="preserve"> </w:t>
      </w:r>
      <w:r w:rsidR="0067661C" w:rsidRPr="0067661C">
        <w:t>will employ established benchmark loci for type 2 diabetes and lipid metabolic traits as proof-of-concept, both selected for their highest end-to-end dataset applicability within the current complement, evaluating recovery of known causal genes within the top-ranked gene list and identification of approved therapeutic targets as primary performance metrics.</w:t>
      </w:r>
    </w:p>
    <w:p w14:paraId="4B744461" w14:textId="27E8A386" w:rsidR="00D91E30" w:rsidRPr="00CB4D52" w:rsidRDefault="00000000" w:rsidP="00D33FBF">
      <w:pPr>
        <w:pStyle w:val="1"/>
        <w:rPr>
          <w:b/>
          <w:bCs/>
        </w:rPr>
      </w:pPr>
      <w:r w:rsidRPr="00CB4D52">
        <w:rPr>
          <w:b/>
          <w:bCs/>
        </w:rPr>
        <w:t>Expected Outcomes</w:t>
      </w:r>
    </w:p>
    <w:p w14:paraId="45B6C854" w14:textId="1B7DC177" w:rsidR="00415EFB" w:rsidRDefault="0067661C" w:rsidP="0067661C">
      <w:pPr>
        <w:jc w:val="both"/>
      </w:pPr>
      <w:r w:rsidRPr="0067661C">
        <w:t xml:space="preserve">Completion of this aim will deliver a publicly released, documented, and benchmarked software infrastructure that any investigator can deploy to conduct reproducible, end-to-end post-GWAS analysis. By providing structured programmatic interfaces to all twenty Common Fund datasets through a unified agentic orchestration layer, </w:t>
      </w:r>
      <w:proofErr w:type="spellStart"/>
      <w:r w:rsidRPr="0067661C">
        <w:t>AgentGWAS</w:t>
      </w:r>
      <w:proofErr w:type="spellEnd"/>
      <w:r w:rsidRPr="0067661C">
        <w:t xml:space="preserve"> will convert months of manual expert effort into hours of automated analysis, substantially lower the barrier to cross-program evidence integration, and establish a reusable, extensible infrastructure that directly accelerates the translational impact of the NIH Common Fund portfolio.</w:t>
      </w:r>
    </w:p>
    <w:p w14:paraId="255A576B" w14:textId="6B2B3F62" w:rsidR="00852707" w:rsidRDefault="00852707">
      <w:r>
        <w:br w:type="page"/>
      </w:r>
    </w:p>
    <w:p w14:paraId="752B72F5" w14:textId="4F8398C7" w:rsidR="006D3887" w:rsidRDefault="005D42BE" w:rsidP="0067661C">
      <w:pPr>
        <w:jc w:val="both"/>
      </w:pPr>
      <w:r>
        <w:rPr>
          <w:noProof/>
        </w:rPr>
        <w:lastRenderedPageBreak/>
        <w:drawing>
          <wp:inline distT="0" distB="0" distL="0" distR="0" wp14:anchorId="69DB4C06" wp14:editId="1DF99B20">
            <wp:extent cx="3396940" cy="6718300"/>
            <wp:effectExtent l="0" t="0" r="0" b="6350"/>
            <wp:docPr id="9386048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00609" cy="6725557"/>
                    </a:xfrm>
                    <a:prstGeom prst="rect">
                      <a:avLst/>
                    </a:prstGeom>
                    <a:noFill/>
                    <a:ln>
                      <a:noFill/>
                    </a:ln>
                  </pic:spPr>
                </pic:pic>
              </a:graphicData>
            </a:graphic>
          </wp:inline>
        </w:drawing>
      </w:r>
    </w:p>
    <w:sectPr w:rsidR="006D3887">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74A66" w14:textId="77777777" w:rsidR="002E6DDD" w:rsidRDefault="002E6DDD" w:rsidP="00F55A31">
      <w:r>
        <w:separator/>
      </w:r>
    </w:p>
  </w:endnote>
  <w:endnote w:type="continuationSeparator" w:id="0">
    <w:p w14:paraId="5F87CDCF" w14:textId="77777777" w:rsidR="002E6DDD" w:rsidRDefault="002E6DDD" w:rsidP="00F55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FF734" w14:textId="77777777" w:rsidR="002E6DDD" w:rsidRDefault="002E6DDD" w:rsidP="00F55A31">
      <w:r>
        <w:separator/>
      </w:r>
    </w:p>
  </w:footnote>
  <w:footnote w:type="continuationSeparator" w:id="0">
    <w:p w14:paraId="1EBE7142" w14:textId="77777777" w:rsidR="002E6DDD" w:rsidRDefault="002E6DDD" w:rsidP="00F55A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E3773"/>
    <w:multiLevelType w:val="hybridMultilevel"/>
    <w:tmpl w:val="E3A6EA8C"/>
    <w:lvl w:ilvl="0" w:tplc="AF1A052A">
      <w:start w:val="1"/>
      <w:numFmt w:val="bullet"/>
      <w:lvlText w:val="●"/>
      <w:lvlJc w:val="left"/>
      <w:pPr>
        <w:ind w:left="720" w:hanging="360"/>
      </w:pPr>
    </w:lvl>
    <w:lvl w:ilvl="1" w:tplc="6D223FB6">
      <w:start w:val="1"/>
      <w:numFmt w:val="bullet"/>
      <w:lvlText w:val="○"/>
      <w:lvlJc w:val="left"/>
      <w:pPr>
        <w:ind w:left="1440" w:hanging="360"/>
      </w:pPr>
    </w:lvl>
    <w:lvl w:ilvl="2" w:tplc="86D65526">
      <w:start w:val="1"/>
      <w:numFmt w:val="bullet"/>
      <w:lvlText w:val="■"/>
      <w:lvlJc w:val="left"/>
      <w:pPr>
        <w:ind w:left="2160" w:hanging="360"/>
      </w:pPr>
    </w:lvl>
    <w:lvl w:ilvl="3" w:tplc="24B490A8">
      <w:start w:val="1"/>
      <w:numFmt w:val="bullet"/>
      <w:lvlText w:val="●"/>
      <w:lvlJc w:val="left"/>
      <w:pPr>
        <w:ind w:left="2880" w:hanging="360"/>
      </w:pPr>
    </w:lvl>
    <w:lvl w:ilvl="4" w:tplc="20FCEEDE">
      <w:start w:val="1"/>
      <w:numFmt w:val="bullet"/>
      <w:lvlText w:val="○"/>
      <w:lvlJc w:val="left"/>
      <w:pPr>
        <w:ind w:left="3600" w:hanging="360"/>
      </w:pPr>
    </w:lvl>
    <w:lvl w:ilvl="5" w:tplc="4EC66EF2">
      <w:start w:val="1"/>
      <w:numFmt w:val="bullet"/>
      <w:lvlText w:val="■"/>
      <w:lvlJc w:val="left"/>
      <w:pPr>
        <w:ind w:left="4320" w:hanging="360"/>
      </w:pPr>
    </w:lvl>
    <w:lvl w:ilvl="6" w:tplc="983A53E4">
      <w:start w:val="1"/>
      <w:numFmt w:val="bullet"/>
      <w:lvlText w:val="●"/>
      <w:lvlJc w:val="left"/>
      <w:pPr>
        <w:ind w:left="5040" w:hanging="360"/>
      </w:pPr>
    </w:lvl>
    <w:lvl w:ilvl="7" w:tplc="A316F184">
      <w:start w:val="1"/>
      <w:numFmt w:val="bullet"/>
      <w:lvlText w:val="●"/>
      <w:lvlJc w:val="left"/>
      <w:pPr>
        <w:ind w:left="5760" w:hanging="360"/>
      </w:pPr>
    </w:lvl>
    <w:lvl w:ilvl="8" w:tplc="E3F48886">
      <w:start w:val="1"/>
      <w:numFmt w:val="bullet"/>
      <w:lvlText w:val="●"/>
      <w:lvlJc w:val="left"/>
      <w:pPr>
        <w:ind w:left="6480" w:hanging="360"/>
      </w:pPr>
    </w:lvl>
  </w:abstractNum>
  <w:num w:numId="1" w16cid:durableId="18229642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E30"/>
    <w:rsid w:val="000951B5"/>
    <w:rsid w:val="000A3BDA"/>
    <w:rsid w:val="000D7D94"/>
    <w:rsid w:val="00106944"/>
    <w:rsid w:val="002E6DDD"/>
    <w:rsid w:val="003618C1"/>
    <w:rsid w:val="003D269F"/>
    <w:rsid w:val="00415EFB"/>
    <w:rsid w:val="004A0756"/>
    <w:rsid w:val="004A2F4C"/>
    <w:rsid w:val="005C5674"/>
    <w:rsid w:val="005D42BE"/>
    <w:rsid w:val="00644F5E"/>
    <w:rsid w:val="0067661C"/>
    <w:rsid w:val="006D3887"/>
    <w:rsid w:val="0070498C"/>
    <w:rsid w:val="007873B8"/>
    <w:rsid w:val="00852707"/>
    <w:rsid w:val="00873E44"/>
    <w:rsid w:val="008C7958"/>
    <w:rsid w:val="008F6DC1"/>
    <w:rsid w:val="00957CED"/>
    <w:rsid w:val="00984EE4"/>
    <w:rsid w:val="00997B0D"/>
    <w:rsid w:val="009A35FF"/>
    <w:rsid w:val="00A67281"/>
    <w:rsid w:val="00B95A9B"/>
    <w:rsid w:val="00C72C81"/>
    <w:rsid w:val="00CB4D52"/>
    <w:rsid w:val="00D33FBF"/>
    <w:rsid w:val="00D91E30"/>
    <w:rsid w:val="00DA449D"/>
    <w:rsid w:val="00DB1FE0"/>
    <w:rsid w:val="00DB6D94"/>
    <w:rsid w:val="00DB7668"/>
    <w:rsid w:val="00E0300F"/>
    <w:rsid w:val="00E9744D"/>
    <w:rsid w:val="00F46F81"/>
    <w:rsid w:val="00F55A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863DF"/>
  <w15:docId w15:val="{0DA0F843-C362-B448-901F-7F2CFAB29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uiPriority w:val="9"/>
    <w:qFormat/>
    <w:rsid w:val="00D33FBF"/>
    <w:pPr>
      <w:spacing w:after="40"/>
      <w:jc w:val="both"/>
      <w:outlineLvl w:val="0"/>
    </w:pPr>
    <w:rPr>
      <w:u w:val="single"/>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rsid w:val="00D33FBF"/>
    <w:pPr>
      <w:spacing w:after="80"/>
      <w:jc w:val="center"/>
    </w:pPr>
    <w:rPr>
      <w:b/>
      <w:bCs/>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F55A31"/>
    <w:pPr>
      <w:tabs>
        <w:tab w:val="center" w:pos="4153"/>
        <w:tab w:val="right" w:pos="8306"/>
      </w:tabs>
      <w:snapToGrid w:val="0"/>
    </w:pPr>
    <w:rPr>
      <w:sz w:val="20"/>
      <w:szCs w:val="20"/>
    </w:rPr>
  </w:style>
  <w:style w:type="character" w:customStyle="1" w:styleId="ad">
    <w:name w:val="頁首 字元"/>
    <w:basedOn w:val="a0"/>
    <w:link w:val="ac"/>
    <w:uiPriority w:val="99"/>
    <w:rsid w:val="00F55A31"/>
    <w:rPr>
      <w:sz w:val="20"/>
      <w:szCs w:val="20"/>
    </w:rPr>
  </w:style>
  <w:style w:type="paragraph" w:styleId="ae">
    <w:name w:val="footer"/>
    <w:basedOn w:val="a"/>
    <w:link w:val="af"/>
    <w:uiPriority w:val="99"/>
    <w:unhideWhenUsed/>
    <w:rsid w:val="00F55A31"/>
    <w:pPr>
      <w:tabs>
        <w:tab w:val="center" w:pos="4153"/>
        <w:tab w:val="right" w:pos="8306"/>
      </w:tabs>
      <w:snapToGrid w:val="0"/>
    </w:pPr>
    <w:rPr>
      <w:sz w:val="20"/>
      <w:szCs w:val="20"/>
    </w:rPr>
  </w:style>
  <w:style w:type="character" w:customStyle="1" w:styleId="af">
    <w:name w:val="頁尾 字元"/>
    <w:basedOn w:val="a0"/>
    <w:link w:val="ae"/>
    <w:uiPriority w:val="99"/>
    <w:rsid w:val="00F55A3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563</Words>
  <Characters>3858</Characters>
  <Application>Microsoft Office Word</Application>
  <DocSecurity>0</DocSecurity>
  <Lines>48</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Wei-Zhi Lin</cp:lastModifiedBy>
  <cp:revision>4</cp:revision>
  <dcterms:created xsi:type="dcterms:W3CDTF">2026-05-08T21:54:00Z</dcterms:created>
  <dcterms:modified xsi:type="dcterms:W3CDTF">2026-05-08T22:19:00Z</dcterms:modified>
</cp:coreProperties>
</file>