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E039" w14:textId="77777777" w:rsidR="00E90BA3" w:rsidRPr="00E90BA3" w:rsidRDefault="00E90BA3" w:rsidP="00E90BA3">
      <w:pPr>
        <w:pStyle w:val="1"/>
      </w:pPr>
      <w:r w:rsidRPr="00E90BA3">
        <w:t>1. Significance</w:t>
      </w:r>
    </w:p>
    <w:p w14:paraId="2E2BC68D" w14:textId="77777777" w:rsidR="00E90BA3" w:rsidRPr="00E90BA3" w:rsidRDefault="00E90BA3" w:rsidP="00E90BA3">
      <w:pPr>
        <w:pStyle w:val="2"/>
      </w:pPr>
      <w:r w:rsidRPr="00E90BA3">
        <w:t>1.1 The Post-GWAS Translational Bottleneck</w:t>
      </w:r>
    </w:p>
    <w:p w14:paraId="2D46536E" w14:textId="0ACA76DB" w:rsidR="00BB18CE" w:rsidRPr="00BB18CE" w:rsidRDefault="00CB1FA9" w:rsidP="00BB18CE">
      <w:pPr>
        <w:spacing w:after="160" w:line="278" w:lineRule="auto"/>
      </w:pPr>
      <w:r w:rsidRPr="00CB1FA9">
        <w:t>Genome-wide association studies (GWAS) have catalogued tens of thousands of variant-trait associations across hundreds of human diseases, yet more than 90% of GWAS signals reside in non-coding genomic regions where causal mechanisms require multi-modal functional evidence to resolve (</w:t>
      </w:r>
      <w:proofErr w:type="spellStart"/>
      <w:r w:rsidRPr="00CB1FA9">
        <w:t>Claussnitzer</w:t>
      </w:r>
      <w:proofErr w:type="spellEnd"/>
      <w:r w:rsidRPr="00CB1FA9">
        <w:t xml:space="preserve"> et al., 2020; Gallagher and Chen-Plotkin, 2018). The consequence is a manifest gap between statistical discovery and biological understanding: druggable targets and prognostic biomarkers underlying most associated loci remain unidentified, and expert-driven integration of regulatory, perturbation, and clinical evidence requires weeks to months per locus.</w:t>
      </w:r>
    </w:p>
    <w:p w14:paraId="3B3446A5" w14:textId="01D39654" w:rsidR="00366E76" w:rsidRPr="00CD220B" w:rsidRDefault="000D036B" w:rsidP="00BB18CE">
      <w:pPr>
        <w:spacing w:after="160" w:line="278" w:lineRule="auto"/>
        <w:rPr>
          <w:rFonts w:hint="eastAsia"/>
        </w:rPr>
      </w:pPr>
      <w:r>
        <w:rPr>
          <w:rFonts w:hint="eastAsia"/>
        </w:rPr>
        <w:t>To b</w:t>
      </w:r>
      <w:r w:rsidR="00BB18CE" w:rsidRPr="00BB18CE">
        <w:t>ridg</w:t>
      </w:r>
      <w:r>
        <w:rPr>
          <w:rFonts w:hint="eastAsia"/>
        </w:rPr>
        <w:t>e</w:t>
      </w:r>
      <w:r w:rsidR="00BB18CE" w:rsidRPr="00BB18CE">
        <w:t xml:space="preserve"> this gap</w:t>
      </w:r>
      <w:r>
        <w:rPr>
          <w:rFonts w:hint="eastAsia"/>
        </w:rPr>
        <w:t xml:space="preserve">, we propose </w:t>
      </w:r>
      <w:r w:rsidR="00BB18CE" w:rsidRPr="00BB18CE">
        <w:t xml:space="preserve">a </w:t>
      </w:r>
      <w:r w:rsidR="00BB18CE" w:rsidRPr="00BB18CE">
        <w:rPr>
          <w:b/>
          <w:bCs/>
        </w:rPr>
        <w:t>five-stage translational chain</w:t>
      </w:r>
      <w:r w:rsidR="00BB18CE" w:rsidRPr="00BB18CE">
        <w:t>: (1) variant-to-gene resolution through regulatory evidence integration; (2) tissue-specific quantification of variant effects on gene expression; (3) pharmacological tractability assessment; (4</w:t>
      </w:r>
      <w:proofErr w:type="gramStart"/>
      <w:r w:rsidR="00BB18CE" w:rsidRPr="00BB18CE">
        <w:t xml:space="preserve">) </w:t>
      </w:r>
      <w:r w:rsidR="00BB18CE" w:rsidRPr="000D036B">
        <w:rPr>
          <w:i/>
          <w:iCs/>
        </w:rPr>
        <w:t>in-</w:t>
      </w:r>
      <w:proofErr w:type="gramEnd"/>
      <w:r w:rsidR="00BB18CE" w:rsidRPr="000D036B">
        <w:rPr>
          <w:i/>
          <w:iCs/>
        </w:rPr>
        <w:t>silico</w:t>
      </w:r>
      <w:r w:rsidR="00BB18CE" w:rsidRPr="00BB18CE">
        <w:t xml:space="preserve"> perturbation simulation; and (5) transcriptome-to-proteome biomarker projection.</w:t>
      </w:r>
      <w:r w:rsidR="00CB1FA9" w:rsidRPr="00CB1FA9">
        <w:rPr>
          <w:rFonts w:ascii="Segoe UI" w:hAnsi="Segoe UI" w:cs="Segoe UI"/>
          <w:color w:val="BBBEBF"/>
          <w:sz w:val="21"/>
          <w:szCs w:val="21"/>
        </w:rPr>
        <w:t xml:space="preserve"> </w:t>
      </w:r>
      <w:r w:rsidR="00CB1FA9" w:rsidRPr="00CB1FA9">
        <w:t>(</w:t>
      </w:r>
      <w:proofErr w:type="spellStart"/>
      <w:r w:rsidR="00CB1FA9" w:rsidRPr="00CB1FA9">
        <w:t>Cano</w:t>
      </w:r>
      <w:proofErr w:type="spellEnd"/>
      <w:r w:rsidR="00CB1FA9" w:rsidRPr="00CB1FA9">
        <w:t xml:space="preserve">-Gamez and </w:t>
      </w:r>
      <w:proofErr w:type="spellStart"/>
      <w:r w:rsidR="00CB1FA9" w:rsidRPr="00CB1FA9">
        <w:t>Trynka</w:t>
      </w:r>
      <w:proofErr w:type="spellEnd"/>
      <w:r w:rsidR="00CB1FA9" w:rsidRPr="00CB1FA9">
        <w:t>, 2020; Huang et al., 2025).</w:t>
      </w:r>
      <w:r w:rsidR="00CD220B">
        <w:rPr>
          <w:rFonts w:hint="eastAsia"/>
        </w:rPr>
        <w:t xml:space="preserve"> Currently, there is n</w:t>
      </w:r>
      <w:r w:rsidR="00CD220B" w:rsidRPr="00CD220B">
        <w:t xml:space="preserve">o </w:t>
      </w:r>
      <w:r w:rsidR="00523502" w:rsidRPr="00CD220B">
        <w:t>tool that</w:t>
      </w:r>
      <w:r w:rsidR="00CD220B" w:rsidRPr="00CD220B">
        <w:t xml:space="preserve"> covers all five stages within a single automated workflow </w:t>
      </w:r>
      <w:r w:rsidR="00CB1FA9" w:rsidRPr="00CB1FA9">
        <w:t>(Falola et al., 2023; Chen et al., 2025)</w:t>
      </w:r>
      <w:r w:rsidR="00CD220B" w:rsidRPr="00CD220B">
        <w:t>.</w:t>
      </w:r>
    </w:p>
    <w:p w14:paraId="67B25E25" w14:textId="77777777" w:rsidR="00BB18CE" w:rsidRPr="00BB18CE" w:rsidRDefault="00E90BA3" w:rsidP="00BB18CE">
      <w:pPr>
        <w:pStyle w:val="2"/>
        <w:spacing w:after="160"/>
      </w:pPr>
      <w:r w:rsidRPr="00E90BA3">
        <w:t xml:space="preserve">1.2 </w:t>
      </w:r>
      <w:r w:rsidR="00BB18CE" w:rsidRPr="00BB18CE">
        <w:t>Unrealized Potential of NIH Common Fund Data</w:t>
      </w:r>
    </w:p>
    <w:p w14:paraId="1B4DDEF3" w14:textId="02BC9224" w:rsidR="006C7899" w:rsidRPr="006C7899" w:rsidRDefault="00BB18CE" w:rsidP="00C02001">
      <w:pPr>
        <w:rPr>
          <w:rFonts w:hint="eastAsia"/>
        </w:rPr>
      </w:pPr>
      <w:r w:rsidRPr="00BB18CE">
        <w:t xml:space="preserve">Twenty NIH Common Fund programs collectively provide the data required to execute this translational chain: chromatin architecture maps (4D </w:t>
      </w:r>
      <w:proofErr w:type="spellStart"/>
      <w:r w:rsidRPr="00BB18CE">
        <w:t>Nucleome</w:t>
      </w:r>
      <w:proofErr w:type="spellEnd"/>
      <w:r w:rsidRPr="00BB18CE">
        <w:t>), single-cell atlases (</w:t>
      </w:r>
      <w:proofErr w:type="spellStart"/>
      <w:r w:rsidRPr="00BB18CE">
        <w:t>HuBMAP</w:t>
      </w:r>
      <w:proofErr w:type="spellEnd"/>
      <w:r w:rsidRPr="00BB18CE">
        <w:t xml:space="preserve">, </w:t>
      </w:r>
      <w:proofErr w:type="spellStart"/>
      <w:r w:rsidRPr="00BB18CE">
        <w:t>SenNet</w:t>
      </w:r>
      <w:proofErr w:type="spellEnd"/>
      <w:r w:rsidRPr="00BB18CE">
        <w:t>), cis-regulatory variant catalogs (</w:t>
      </w:r>
      <w:proofErr w:type="spellStart"/>
      <w:r w:rsidRPr="00BB18CE">
        <w:t>GTEx</w:t>
      </w:r>
      <w:proofErr w:type="spellEnd"/>
      <w:r w:rsidRPr="00BB18CE">
        <w:t>), controlled</w:t>
      </w:r>
      <w:r w:rsidR="00366E76">
        <w:rPr>
          <w:rFonts w:hint="eastAsia"/>
        </w:rPr>
        <w:t xml:space="preserve"> </w:t>
      </w:r>
      <w:r w:rsidRPr="00BB18CE">
        <w:t>perturbation multi-omic</w:t>
      </w:r>
      <w:r w:rsidR="00366E76">
        <w:rPr>
          <w:rFonts w:hint="eastAsia"/>
        </w:rPr>
        <w:t>s</w:t>
      </w:r>
      <w:r w:rsidRPr="00BB18CE">
        <w:t xml:space="preserve"> time series (</w:t>
      </w:r>
      <w:proofErr w:type="spellStart"/>
      <w:r w:rsidRPr="00BB18CE">
        <w:t>MoTrPAC</w:t>
      </w:r>
      <w:proofErr w:type="spellEnd"/>
      <w:r w:rsidRPr="00BB18CE">
        <w:t xml:space="preserve">), perturbation signatures (LINCS), target pharmacology annotations (IDG), longitudinal clinical cohorts (A2CPS, </w:t>
      </w:r>
      <w:proofErr w:type="spellStart"/>
      <w:r w:rsidRPr="00BB18CE">
        <w:t>iHMP</w:t>
      </w:r>
      <w:proofErr w:type="spellEnd"/>
      <w:r w:rsidRPr="00BB18CE">
        <w:t>), and others. These resources remain siloed across separate portals, identifier systems, and access models, precluding their integration as a unified translational resource.</w:t>
      </w:r>
      <w:r w:rsidR="000D036B">
        <w:rPr>
          <w:rFonts w:hint="eastAsia"/>
        </w:rPr>
        <w:t xml:space="preserve"> </w:t>
      </w:r>
      <w:r w:rsidR="00CD220B">
        <w:rPr>
          <w:rFonts w:hint="eastAsia"/>
        </w:rPr>
        <w:t xml:space="preserve">However, there is currently no </w:t>
      </w:r>
      <w:r w:rsidR="006C7899" w:rsidRPr="006C7899">
        <w:t xml:space="preserve">existing computational </w:t>
      </w:r>
      <w:r w:rsidR="000D036B" w:rsidRPr="006C7899">
        <w:t>infrastructure that</w:t>
      </w:r>
      <w:r w:rsidR="006C7899" w:rsidRPr="006C7899">
        <w:t xml:space="preserve"> integrates these </w:t>
      </w:r>
      <w:r w:rsidR="00146524">
        <w:t>resources</w:t>
      </w:r>
      <w:r w:rsidR="006C7899" w:rsidRPr="006C7899">
        <w:t xml:space="preserve"> into a single analysis workflow. </w:t>
      </w:r>
    </w:p>
    <w:p w14:paraId="6689270A" w14:textId="77777777" w:rsidR="00BB18CE" w:rsidRPr="00BB18CE" w:rsidRDefault="00BB18CE" w:rsidP="007A2B28">
      <w:pPr>
        <w:pStyle w:val="1"/>
      </w:pPr>
      <w:r w:rsidRPr="00BB18CE">
        <w:t>2. Innovation</w:t>
      </w:r>
    </w:p>
    <w:p w14:paraId="64D50C62" w14:textId="6BBDDCC1" w:rsidR="0003000A" w:rsidRDefault="00523502" w:rsidP="000941A8">
      <w:r w:rsidRPr="00523502">
        <w:t xml:space="preserve">Existing autonomous research agent frameworks </w:t>
      </w:r>
      <w:r w:rsidR="00D14CB2">
        <w:rPr>
          <w:rFonts w:hint="eastAsia"/>
        </w:rPr>
        <w:t>such as</w:t>
      </w:r>
      <w:r w:rsidRPr="00523502">
        <w:t xml:space="preserve"> </w:t>
      </w:r>
      <w:r w:rsidRPr="005E6D60">
        <w:rPr>
          <w:i/>
          <w:iCs/>
        </w:rPr>
        <w:t>The AI Scientist</w:t>
      </w:r>
      <w:r w:rsidRPr="00523502">
        <w:t xml:space="preserve">, </w:t>
      </w:r>
      <w:proofErr w:type="spellStart"/>
      <w:r w:rsidRPr="005E6D60">
        <w:rPr>
          <w:i/>
          <w:iCs/>
        </w:rPr>
        <w:t>AutoResearchClaw</w:t>
      </w:r>
      <w:proofErr w:type="spellEnd"/>
      <w:r w:rsidRPr="00523502">
        <w:t xml:space="preserve">, </w:t>
      </w:r>
      <w:proofErr w:type="spellStart"/>
      <w:r w:rsidRPr="005E6D60">
        <w:rPr>
          <w:i/>
          <w:iCs/>
        </w:rPr>
        <w:t>Co</w:t>
      </w:r>
      <w:r w:rsidR="005E6D60">
        <w:rPr>
          <w:rFonts w:hint="eastAsia"/>
          <w:i/>
          <w:iCs/>
        </w:rPr>
        <w:t>S</w:t>
      </w:r>
      <w:r w:rsidRPr="005E6D60">
        <w:rPr>
          <w:i/>
          <w:iCs/>
        </w:rPr>
        <w:t>cientist</w:t>
      </w:r>
      <w:proofErr w:type="spellEnd"/>
      <w:r w:rsidRPr="00523502">
        <w:t xml:space="preserve">, and </w:t>
      </w:r>
      <w:proofErr w:type="spellStart"/>
      <w:r w:rsidRPr="005E6D60">
        <w:rPr>
          <w:i/>
          <w:iCs/>
        </w:rPr>
        <w:t>BioAgents</w:t>
      </w:r>
      <w:proofErr w:type="spellEnd"/>
      <w:r w:rsidRPr="00523502">
        <w:t xml:space="preserve"> demonstrate that </w:t>
      </w:r>
      <w:r w:rsidR="00D14CB2" w:rsidRPr="00523502">
        <w:t>general-purpose</w:t>
      </w:r>
      <w:r w:rsidR="00D14CB2" w:rsidRPr="00523502">
        <w:t xml:space="preserve"> </w:t>
      </w:r>
      <w:r w:rsidR="00D14CB2">
        <w:rPr>
          <w:rFonts w:hint="eastAsia"/>
        </w:rPr>
        <w:t>agentic AI</w:t>
      </w:r>
      <w:r w:rsidRPr="00523502">
        <w:t xml:space="preserve"> can coordinate multi-step scientific workflows but fail to address post-GWAS translational analysis at four structural barriers (Tan et al., 2025):</w:t>
      </w:r>
      <w:r w:rsidR="000941A8">
        <w:rPr>
          <w:rFonts w:hint="eastAsia"/>
        </w:rPr>
        <w:t xml:space="preserve"> </w:t>
      </w:r>
    </w:p>
    <w:p w14:paraId="7CEF9AAD" w14:textId="4DC49463" w:rsidR="00CA6CB9" w:rsidRPr="00CA6CB9" w:rsidRDefault="00CA6CB9" w:rsidP="00CA6CB9">
      <w:r w:rsidRPr="00CA6CB9">
        <w:t>(1) Silent statistical misconfiguration</w:t>
      </w:r>
      <w:r w:rsidR="00CB1FA9">
        <w:rPr>
          <w:rFonts w:hint="eastAsia"/>
        </w:rPr>
        <w:t>. C</w:t>
      </w:r>
      <w:r>
        <w:rPr>
          <w:rFonts w:hint="eastAsia"/>
        </w:rPr>
        <w:t>urrently commonly used</w:t>
      </w:r>
      <w:r w:rsidRPr="00CA6CB9">
        <w:t xml:space="preserve"> tools such as </w:t>
      </w:r>
      <w:proofErr w:type="spellStart"/>
      <w:r w:rsidRPr="00CA6CB9">
        <w:t>SuSiE</w:t>
      </w:r>
      <w:proofErr w:type="spellEnd"/>
      <w:r w:rsidR="00901116">
        <w:rPr>
          <w:rFonts w:hint="eastAsia"/>
        </w:rPr>
        <w:t xml:space="preserve">, COLOC, and </w:t>
      </w:r>
      <w:r w:rsidRPr="00CA6CB9">
        <w:t>S-</w:t>
      </w:r>
      <w:proofErr w:type="spellStart"/>
      <w:r w:rsidRPr="00CA6CB9">
        <w:t>PrediXcan</w:t>
      </w:r>
      <w:proofErr w:type="spellEnd"/>
      <w:r w:rsidRPr="00CA6CB9">
        <w:t xml:space="preserve"> require dataset-specific parameterization (ancestry-matched linkage disequilibrium matrices, calibrated priors, tissue-matched expression models) that a general </w:t>
      </w:r>
      <w:r w:rsidR="00D14CB2">
        <w:rPr>
          <w:rFonts w:hint="eastAsia"/>
        </w:rPr>
        <w:t>agentic AI</w:t>
      </w:r>
      <w:r w:rsidR="00D14CB2" w:rsidRPr="00CA6CB9">
        <w:t xml:space="preserve"> </w:t>
      </w:r>
      <w:r w:rsidRPr="00CA6CB9">
        <w:t>cannot reliably infer; misconfigured parameters produce numerically plausible but statistically invalid outputs indistinguishable from correct results.</w:t>
      </w:r>
    </w:p>
    <w:p w14:paraId="0F0DE87F" w14:textId="3A754F64" w:rsidR="00CA6CB9" w:rsidRPr="00CA6CB9" w:rsidRDefault="00CA6CB9" w:rsidP="00CA6CB9">
      <w:r w:rsidRPr="00CA6CB9">
        <w:t>(2) Pre-execution authorization failure</w:t>
      </w:r>
      <w:r w:rsidR="00CB1FA9">
        <w:rPr>
          <w:rFonts w:hint="eastAsia"/>
        </w:rPr>
        <w:t>. C</w:t>
      </w:r>
      <w:r w:rsidRPr="00CA6CB9">
        <w:t xml:space="preserve">ontrolled-access datasets require institutional authorization through </w:t>
      </w:r>
      <w:proofErr w:type="spellStart"/>
      <w:r w:rsidRPr="00CA6CB9">
        <w:t>dbGaP</w:t>
      </w:r>
      <w:proofErr w:type="spellEnd"/>
      <w:r w:rsidRPr="00CA6CB9">
        <w:t xml:space="preserve">, EGA, </w:t>
      </w:r>
      <w:proofErr w:type="spellStart"/>
      <w:r w:rsidRPr="00CA6CB9">
        <w:t>AnVIL</w:t>
      </w:r>
      <w:proofErr w:type="spellEnd"/>
      <w:r w:rsidRPr="00CA6CB9">
        <w:t xml:space="preserve">, or </w:t>
      </w:r>
      <w:proofErr w:type="spellStart"/>
      <w:r w:rsidRPr="00CA6CB9">
        <w:t>BioData</w:t>
      </w:r>
      <w:proofErr w:type="spellEnd"/>
      <w:r w:rsidRPr="00CA6CB9">
        <w:t xml:space="preserve"> Catalyst; authorization gaps discovered mid-execution corrupt </w:t>
      </w:r>
      <w:r w:rsidRPr="00CA6CB9">
        <w:lastRenderedPageBreak/>
        <w:t>partially completed session states and require full pipeline restart.</w:t>
      </w:r>
    </w:p>
    <w:p w14:paraId="239CF72D" w14:textId="79CD5A81" w:rsidR="00CA6CB9" w:rsidRPr="00CA6CB9" w:rsidRDefault="00CA6CB9" w:rsidP="00CA6CB9">
      <w:r w:rsidRPr="00CA6CB9">
        <w:t>(3) Probabilistic state collapse</w:t>
      </w:r>
      <w:r w:rsidR="00CB1FA9">
        <w:rPr>
          <w:rFonts w:hint="eastAsia"/>
        </w:rPr>
        <w:t>. C</w:t>
      </w:r>
      <w:r w:rsidRPr="00CA6CB9">
        <w:t>ontinuous posteriors propagated as natural-language summaries lose the gradient structure required for downstream Bayesian prioritization, amplifying rather than propagating upstream uncertainty.</w:t>
      </w:r>
    </w:p>
    <w:p w14:paraId="57C3452D" w14:textId="36DA52C3" w:rsidR="00CA6CB9" w:rsidRPr="00CA6CB9" w:rsidRDefault="00CA6CB9" w:rsidP="00CA6CB9">
      <w:r w:rsidRPr="00CA6CB9">
        <w:t>(4) Translational chain underdetermination</w:t>
      </w:r>
      <w:r w:rsidR="00CB1FA9">
        <w:rPr>
          <w:rFonts w:hint="eastAsia"/>
        </w:rPr>
        <w:t>. T</w:t>
      </w:r>
      <w:r w:rsidRPr="00CA6CB9">
        <w:t>he five-stage inference chain must be externally specified and scientifically correct; encoding the dependency structure between stages, the designation of primary versus supplementary datasets, and the uncertainty propagation rules at each transition requires domain expertise equivalent in effort to building a domain-specific system, such that a general framework fully adapted to this purpose has in effect become one.</w:t>
      </w:r>
    </w:p>
    <w:p w14:paraId="393B046C" w14:textId="71C9EB9C" w:rsidR="00BB18CE" w:rsidRPr="00BB18CE" w:rsidRDefault="000941A8" w:rsidP="00BB18CE">
      <w:pPr>
        <w:spacing w:after="160" w:line="278" w:lineRule="auto"/>
        <w:rPr>
          <w:rFonts w:hint="eastAsia"/>
        </w:rPr>
      </w:pPr>
      <w:r w:rsidRPr="000941A8">
        <w:t>We propose</w:t>
      </w:r>
      <w:r>
        <w:rPr>
          <w:rFonts w:hint="eastAsia"/>
        </w:rPr>
        <w:t xml:space="preserve"> </w:t>
      </w:r>
      <w:proofErr w:type="spellStart"/>
      <w:r w:rsidRPr="000941A8">
        <w:rPr>
          <w:b/>
          <w:bCs/>
        </w:rPr>
        <w:t>AgentGWAS</w:t>
      </w:r>
      <w:proofErr w:type="spellEnd"/>
      <w:r w:rsidRPr="000941A8">
        <w:t xml:space="preserve">, a computational system that </w:t>
      </w:r>
      <w:r w:rsidR="00CB1FA9">
        <w:t>executes</w:t>
      </w:r>
      <w:r w:rsidRPr="000941A8">
        <w:t xml:space="preserve"> five-stage post-GWAS translational pipeline within a single LLM-orchestrated framework integrating twenty NIH Common Fund programs. </w:t>
      </w:r>
      <w:r w:rsidR="00CA6CB9" w:rsidRPr="00CA6CB9">
        <w:t>Stage-specific agents support a configurable LLM backend (</w:t>
      </w:r>
      <w:r w:rsidR="00CA6CB9" w:rsidRPr="00CB1FA9">
        <w:t xml:space="preserve">e.g. </w:t>
      </w:r>
      <w:r w:rsidR="00CA6CB9" w:rsidRPr="00CA6CB9">
        <w:t>Claude, Gemini, and GPT)</w:t>
      </w:r>
      <w:r w:rsidRPr="000941A8">
        <w:t xml:space="preserve">, selected for structured output reliability and tool-use fidelity under constrained </w:t>
      </w:r>
      <w:proofErr w:type="spellStart"/>
      <w:r w:rsidRPr="000941A8">
        <w:t>Pydantic</w:t>
      </w:r>
      <w:proofErr w:type="spellEnd"/>
      <w:r w:rsidRPr="000941A8">
        <w:t xml:space="preserve"> schemas; LLM reasoning is architecturally isolated from deterministic statistical computation in all five stages. Three architectural innovations distinguish this system from existing tools:</w:t>
      </w:r>
    </w:p>
    <w:p w14:paraId="282563E6" w14:textId="3654F63D" w:rsidR="00BB18CE" w:rsidRPr="00BB18CE" w:rsidRDefault="00BB18CE" w:rsidP="00BB18CE">
      <w:pPr>
        <w:spacing w:after="160" w:line="278" w:lineRule="auto"/>
      </w:pPr>
      <w:r>
        <w:rPr>
          <w:rFonts w:hint="eastAsia"/>
          <w:b/>
          <w:bCs/>
        </w:rPr>
        <w:t xml:space="preserve">(1) </w:t>
      </w:r>
      <w:r w:rsidRPr="00BB18CE">
        <w:rPr>
          <w:b/>
          <w:bCs/>
        </w:rPr>
        <w:t>Calibrat</w:t>
      </w:r>
      <w:r w:rsidR="00CB1FA9">
        <w:rPr>
          <w:rFonts w:hint="eastAsia"/>
          <w:b/>
          <w:bCs/>
        </w:rPr>
        <w:t>ion</w:t>
      </w:r>
      <w:r w:rsidRPr="00BB18CE">
        <w:rPr>
          <w:b/>
          <w:bCs/>
        </w:rPr>
        <w:t xml:space="preserve"> Uncertainty </w:t>
      </w:r>
      <w:r>
        <w:rPr>
          <w:rFonts w:hint="eastAsia"/>
          <w:b/>
          <w:bCs/>
        </w:rPr>
        <w:t>Diffusion</w:t>
      </w:r>
      <w:r w:rsidR="00CB1FA9">
        <w:rPr>
          <w:rFonts w:hint="eastAsia"/>
          <w:b/>
          <w:bCs/>
        </w:rPr>
        <w:t>.</w:t>
      </w:r>
      <w:r>
        <w:rPr>
          <w:rFonts w:hint="eastAsia"/>
        </w:rPr>
        <w:t xml:space="preserve"> </w:t>
      </w:r>
      <w:r w:rsidRPr="00BB18CE">
        <w:t xml:space="preserve">A typed </w:t>
      </w:r>
      <w:proofErr w:type="spellStart"/>
      <w:r w:rsidRPr="00BB18CE">
        <w:t>PipelineState</w:t>
      </w:r>
      <w:proofErr w:type="spellEnd"/>
      <w:r w:rsidRPr="00BB18CE">
        <w:t xml:space="preserve"> </w:t>
      </w:r>
      <w:proofErr w:type="spellStart"/>
      <w:r w:rsidRPr="00BB18CE">
        <w:t>Pydantic</w:t>
      </w:r>
      <w:proofErr w:type="spellEnd"/>
      <w:r w:rsidRPr="00BB18CE">
        <w:t xml:space="preserve"> object carries posterior inclusion probabilities (Stage 1), colocalization H4 statistics and TWAS Z-scores (Stage 2), Target Development Level classifications (Stage 3), LINCS connectivity tau statistics (Stage 4), and hazard ratios with confidence intervals (Stage 5) as continuous quantities across all stage transitions. </w:t>
      </w:r>
      <w:proofErr w:type="spellStart"/>
      <w:r w:rsidRPr="00BB18CE">
        <w:t>LangGraph</w:t>
      </w:r>
      <w:proofErr w:type="spellEnd"/>
      <w:r w:rsidRPr="00BB18CE">
        <w:t xml:space="preserve"> conditional edges implement uncertainty-conditional routing, returning the graph to earlier stages when evidence thresholds are not met. No existing post-GWAS system propagates continuous posteriors across a multi-stage translational chain of this form.</w:t>
      </w:r>
    </w:p>
    <w:p w14:paraId="3D763F07" w14:textId="5B005A71" w:rsidR="00BB18CE" w:rsidRPr="00BB18CE" w:rsidRDefault="00BB18CE" w:rsidP="00BB18CE">
      <w:pPr>
        <w:spacing w:after="160" w:line="278" w:lineRule="auto"/>
      </w:pPr>
      <w:r>
        <w:rPr>
          <w:rFonts w:hint="eastAsia"/>
          <w:b/>
          <w:bCs/>
        </w:rPr>
        <w:t xml:space="preserve">(2) </w:t>
      </w:r>
      <w:r w:rsidRPr="00BB18CE">
        <w:rPr>
          <w:b/>
          <w:bCs/>
        </w:rPr>
        <w:t>Mandatory Investigator Plan Review.</w:t>
      </w:r>
      <w:r>
        <w:rPr>
          <w:rFonts w:hint="eastAsia"/>
        </w:rPr>
        <w:t xml:space="preserve"> </w:t>
      </w:r>
      <w:r w:rsidRPr="00BB18CE">
        <w:t xml:space="preserve">Before any computation is dispatched, </w:t>
      </w:r>
      <w:proofErr w:type="spellStart"/>
      <w:r w:rsidRPr="00BB18CE">
        <w:t>AgentGWAS</w:t>
      </w:r>
      <w:proofErr w:type="spellEnd"/>
      <w:r w:rsidRPr="00BB18CE">
        <w:t xml:space="preserve"> presents a structured session plan specifying stages, datasets, statistical parameters, access authorizations, and estimated comput</w:t>
      </w:r>
      <w:r w:rsidR="00DD563F">
        <w:rPr>
          <w:rFonts w:hint="eastAsia"/>
        </w:rPr>
        <w:t>ing</w:t>
      </w:r>
      <w:r w:rsidRPr="00BB18CE">
        <w:t xml:space="preserve"> hours. Execution proceeds only upon investigator approval through a non-</w:t>
      </w:r>
      <w:proofErr w:type="spellStart"/>
      <w:r w:rsidRPr="00BB18CE">
        <w:t>bypassable</w:t>
      </w:r>
      <w:proofErr w:type="spellEnd"/>
      <w:r w:rsidRPr="00BB18CE">
        <w:t xml:space="preserve"> </w:t>
      </w:r>
      <w:proofErr w:type="spellStart"/>
      <w:r w:rsidRPr="00BB18CE">
        <w:t>LangGraph</w:t>
      </w:r>
      <w:proofErr w:type="spellEnd"/>
      <w:r w:rsidRPr="00BB18CE">
        <w:t xml:space="preserve"> interrupt node. This design implements investigator oversight as an architectural guarantee, distinguishing </w:t>
      </w:r>
      <w:proofErr w:type="spellStart"/>
      <w:r w:rsidRPr="00BB18CE">
        <w:t>AgentGWAS</w:t>
      </w:r>
      <w:proofErr w:type="spellEnd"/>
      <w:r w:rsidRPr="00BB18CE">
        <w:t xml:space="preserve"> from autonomous research agents that operate with minimal oversight by </w:t>
      </w:r>
      <w:r w:rsidR="00DD563F" w:rsidRPr="00BB18CE">
        <w:t>default and</w:t>
      </w:r>
      <w:r w:rsidRPr="00BB18CE">
        <w:t xml:space="preserve"> ensuring controlled-access authorization gaps are surfaced before execution rather than discovered mid-run.</w:t>
      </w:r>
    </w:p>
    <w:p w14:paraId="7C5CCC87" w14:textId="379A8A53" w:rsidR="00BB18CE" w:rsidRPr="00BB18CE" w:rsidRDefault="00BB18CE" w:rsidP="00BB18CE">
      <w:pPr>
        <w:spacing w:after="160" w:line="278" w:lineRule="auto"/>
      </w:pPr>
      <w:r>
        <w:rPr>
          <w:rFonts w:hint="eastAsia"/>
          <w:b/>
          <w:bCs/>
        </w:rPr>
        <w:t xml:space="preserve">(3) </w:t>
      </w:r>
      <w:r w:rsidRPr="00BB18CE">
        <w:rPr>
          <w:b/>
          <w:bCs/>
        </w:rPr>
        <w:t>Unified Variant-to-Biomarker Knowledge Graph.</w:t>
      </w:r>
      <w:r>
        <w:rPr>
          <w:rFonts w:hint="eastAsia"/>
        </w:rPr>
        <w:t xml:space="preserve"> </w:t>
      </w:r>
      <w:r w:rsidRPr="00BB18CE">
        <w:t xml:space="preserve">Eleven typed node categories (Variant, </w:t>
      </w:r>
      <w:proofErr w:type="spellStart"/>
      <w:r w:rsidRPr="00BB18CE">
        <w:t>CredibleSet</w:t>
      </w:r>
      <w:proofErr w:type="spellEnd"/>
      <w:r w:rsidRPr="00BB18CE">
        <w:t>, Gene, Tissue, Cell</w:t>
      </w:r>
      <w:r w:rsidR="00DD563F">
        <w:rPr>
          <w:rFonts w:hint="eastAsia"/>
        </w:rPr>
        <w:t xml:space="preserve"> </w:t>
      </w:r>
      <w:r w:rsidRPr="00BB18CE">
        <w:t>Type, Drug, Compound, Protein, Phenotype, Pathway, Microbiome) are connected by seven typed edge categories carrying calibrated uncertainty scores as edge properties, enabling multi-hop traversal queries spanning the complete variant-to-biomarker evidence chain. This representation surpasses KGWAS, which is restricted to variant-gene relationships, and GRASP, which spans pharmacology without the full translational chain.</w:t>
      </w:r>
    </w:p>
    <w:p w14:paraId="5A0EF24B" w14:textId="77777777" w:rsidR="00BB18CE" w:rsidRPr="00BB18CE" w:rsidRDefault="00BB18CE" w:rsidP="00BB18CE">
      <w:pPr>
        <w:pStyle w:val="1"/>
      </w:pPr>
      <w:r w:rsidRPr="00BB18CE">
        <w:lastRenderedPageBreak/>
        <w:t>3. Approach</w:t>
      </w:r>
    </w:p>
    <w:p w14:paraId="4B1D4658" w14:textId="77777777" w:rsidR="00BB18CE" w:rsidRPr="00BB18CE" w:rsidRDefault="00BB18CE" w:rsidP="00BB18CE">
      <w:pPr>
        <w:pStyle w:val="2"/>
      </w:pPr>
      <w:r w:rsidRPr="00BB18CE">
        <w:t>3.1 Pipeline Architecture</w:t>
      </w:r>
    </w:p>
    <w:p w14:paraId="0708C6A2" w14:textId="547066AF" w:rsidR="00BB18CE" w:rsidRDefault="00BB18CE" w:rsidP="00BB18CE">
      <w:pPr>
        <w:spacing w:after="160" w:line="278" w:lineRule="auto"/>
      </w:pPr>
      <w:r w:rsidRPr="00BB18CE">
        <w:t xml:space="preserve">The five-stage pipeline executes as a directed acyclic graph: Stage 1 </w:t>
      </w:r>
      <w:r w:rsidR="00021BFC" w:rsidRPr="00021BFC">
        <w:t>generates</w:t>
      </w:r>
      <w:r w:rsidR="00021BFC">
        <w:rPr>
          <w:rFonts w:hint="eastAsia"/>
        </w:rPr>
        <w:t xml:space="preserve"> </w:t>
      </w:r>
      <w:r w:rsidRPr="00BB18CE">
        <w:t xml:space="preserve">gene-level credible sets; Stages 2 and 3 execute concurrently; Stage 4 integrates joint Stage 2-3 outputs; Stage 5 receives Stage 4 outputs. </w:t>
      </w:r>
      <w:r w:rsidR="008E70EF">
        <w:rPr>
          <w:rFonts w:hint="eastAsia"/>
        </w:rPr>
        <w:t>(</w:t>
      </w:r>
      <w:r w:rsidR="008E70EF" w:rsidRPr="008E70EF">
        <w:rPr>
          <w:rFonts w:hint="eastAsia"/>
          <w:b/>
          <w:bCs/>
        </w:rPr>
        <w:t>Figure 1</w:t>
      </w:r>
      <w:r w:rsidR="008E70EF">
        <w:rPr>
          <w:rFonts w:hint="eastAsia"/>
        </w:rPr>
        <w:t>)</w:t>
      </w:r>
      <w:r w:rsidR="008E70EF">
        <w:rPr>
          <w:rFonts w:hint="eastAsia"/>
        </w:rPr>
        <w:t xml:space="preserve"> </w:t>
      </w:r>
      <w:r w:rsidRPr="00BB18CE">
        <w:t>The central hypothesis is that this framework recovers validated causal genes and approved therapeutic targets at benchmark loci with greater reproducibility than expert-driven single-program analyses. Validation employs benchmark loci for type 2 diabetes (TCF7L2, SLC30A8) and lipid metabolic traits (PCSK9, APOC3), with causal gene recovery and approved-target identification as primary performance metrics.</w:t>
      </w:r>
      <w:r w:rsidR="00DD563F">
        <w:rPr>
          <w:rFonts w:hint="eastAsia"/>
        </w:rPr>
        <w:t xml:space="preserve"> </w:t>
      </w:r>
    </w:p>
    <w:tbl>
      <w:tblPr>
        <w:tblStyle w:val="af5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962"/>
      </w:tblGrid>
      <w:tr w:rsidR="00021BFC" w14:paraId="6A8234BF" w14:textId="77777777" w:rsidTr="00021BFC">
        <w:tc>
          <w:tcPr>
            <w:tcW w:w="5103" w:type="dxa"/>
          </w:tcPr>
          <w:p w14:paraId="24245EA5" w14:textId="77777777" w:rsidR="00021BFC" w:rsidRDefault="00021BFC" w:rsidP="00021BFC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02E7B33" wp14:editId="53BAC9DD">
                  <wp:extent cx="2989691" cy="4815405"/>
                  <wp:effectExtent l="0" t="0" r="1270" b="0"/>
                  <wp:docPr id="5251211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5140" cy="4840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2" w:type="dxa"/>
          </w:tcPr>
          <w:p w14:paraId="224F9BBC" w14:textId="77777777" w:rsidR="00021BFC" w:rsidRPr="00DD563F" w:rsidRDefault="00021BFC" w:rsidP="00021BFC">
            <w:r w:rsidRPr="008E70EF">
              <w:rPr>
                <w:b/>
                <w:bCs/>
              </w:rPr>
              <w:t>Figure 1</w:t>
            </w:r>
            <w:r w:rsidRPr="00DD563F">
              <w:t xml:space="preserve">. </w:t>
            </w:r>
            <w:proofErr w:type="spellStart"/>
            <w:r w:rsidRPr="00DD563F">
              <w:t>AgentGWAS</w:t>
            </w:r>
            <w:proofErr w:type="spellEnd"/>
            <w:r w:rsidRPr="00DD563F">
              <w:t xml:space="preserve"> pipeline architecture. Investigator queries are converted </w:t>
            </w:r>
            <w:proofErr w:type="gramStart"/>
            <w:r w:rsidRPr="00DD563F">
              <w:t>to</w:t>
            </w:r>
            <w:proofErr w:type="gramEnd"/>
            <w:r w:rsidRPr="00DD563F">
              <w:t xml:space="preserve"> a structured session plan by the Planner Agent; execution proceeds only upon human approval through a non-</w:t>
            </w:r>
            <w:proofErr w:type="spellStart"/>
            <w:r w:rsidRPr="00DD563F">
              <w:t>bypassable</w:t>
            </w:r>
            <w:proofErr w:type="spellEnd"/>
            <w:r w:rsidRPr="00DD563F">
              <w:t xml:space="preserve"> review node. The five computational stages execute as a directed acyclic graph with Stages 2 and 3 running concurrently from Stage 1 outputs. Dashed edges denote bidirectional read/write interactions with the Unified Variant-to-Biomarker Knowledge Graph at every stage.</w:t>
            </w:r>
          </w:p>
          <w:p w14:paraId="63165330" w14:textId="15DEE6B1" w:rsidR="00021BFC" w:rsidRPr="00DD563F" w:rsidRDefault="00021BFC" w:rsidP="00021BFC">
            <w:pPr>
              <w:rPr>
                <w:rFonts w:hint="eastAsia"/>
              </w:rPr>
            </w:pPr>
          </w:p>
        </w:tc>
      </w:tr>
    </w:tbl>
    <w:p w14:paraId="76B8F8F5" w14:textId="0233960B" w:rsidR="00BB18CE" w:rsidRPr="00BB18CE" w:rsidRDefault="00BB18CE" w:rsidP="00BB18CE">
      <w:pPr>
        <w:spacing w:after="160" w:line="278" w:lineRule="auto"/>
      </w:pPr>
      <w:r w:rsidRPr="00BB18CE">
        <w:rPr>
          <w:b/>
          <w:bCs/>
        </w:rPr>
        <w:t>Stage 1 (Variant-to-Gene Resolution).</w:t>
      </w:r>
      <w:r w:rsidR="00CB1FA9">
        <w:rPr>
          <w:rFonts w:hint="eastAsia"/>
        </w:rPr>
        <w:t xml:space="preserve"> </w:t>
      </w:r>
      <w:proofErr w:type="spellStart"/>
      <w:r w:rsidR="00950FC2" w:rsidRPr="00950FC2">
        <w:t>SuSiE</w:t>
      </w:r>
      <w:proofErr w:type="spellEnd"/>
      <w:r w:rsidR="00950FC2" w:rsidRPr="00950FC2">
        <w:t xml:space="preserve"> and FINEMAP fine-mapping generates credible-set posterior inclusion probabilities. Variants are mapped to chromatin contact domains and enhancer-promoter loops (4DN Hi-C, </w:t>
      </w:r>
      <w:proofErr w:type="spellStart"/>
      <w:r w:rsidR="00950FC2" w:rsidRPr="00950FC2">
        <w:t>HiChIP</w:t>
      </w:r>
      <w:proofErr w:type="spellEnd"/>
      <w:r w:rsidR="00950FC2" w:rsidRPr="00950FC2">
        <w:t xml:space="preserve">, PLAC-seq), intersected with open chromatin and histone modification profiles from </w:t>
      </w:r>
      <w:proofErr w:type="spellStart"/>
      <w:r w:rsidR="00950FC2" w:rsidRPr="00950FC2">
        <w:t>HuBMAP</w:t>
      </w:r>
      <w:proofErr w:type="spellEnd"/>
      <w:r w:rsidR="00950FC2" w:rsidRPr="00950FC2">
        <w:t xml:space="preserve"> and </w:t>
      </w:r>
      <w:proofErr w:type="spellStart"/>
      <w:r w:rsidR="00950FC2" w:rsidRPr="00950FC2">
        <w:t>SenNet</w:t>
      </w:r>
      <w:proofErr w:type="spellEnd"/>
      <w:r w:rsidR="00950FC2" w:rsidRPr="00950FC2">
        <w:t xml:space="preserve"> (ATAC-seq, </w:t>
      </w:r>
      <w:proofErr w:type="spellStart"/>
      <w:r w:rsidR="00950FC2" w:rsidRPr="00950FC2">
        <w:t>ChIP</w:t>
      </w:r>
      <w:proofErr w:type="spellEnd"/>
      <w:r w:rsidR="00950FC2" w:rsidRPr="00950FC2">
        <w:t>-seq), and scored using Activity-by-Contact modeling.</w:t>
      </w:r>
      <w:r w:rsidR="00950FC2">
        <w:rPr>
          <w:rFonts w:hint="eastAsia"/>
        </w:rPr>
        <w:t xml:space="preserve"> </w:t>
      </w:r>
      <w:r w:rsidR="00950FC2" w:rsidRPr="00950FC2">
        <w:rPr>
          <w:i/>
          <w:iCs/>
        </w:rPr>
        <w:t>Primary:</w:t>
      </w:r>
      <w:r w:rsidR="00950FC2">
        <w:rPr>
          <w:rFonts w:hint="eastAsia"/>
        </w:rPr>
        <w:t xml:space="preserve"> </w:t>
      </w:r>
      <w:r w:rsidR="00950FC2" w:rsidRPr="00950FC2">
        <w:t xml:space="preserve">4DN, </w:t>
      </w:r>
      <w:proofErr w:type="spellStart"/>
      <w:r w:rsidR="00950FC2" w:rsidRPr="00950FC2">
        <w:t>HuBMAP</w:t>
      </w:r>
      <w:proofErr w:type="spellEnd"/>
      <w:r w:rsidR="00950FC2" w:rsidRPr="00950FC2">
        <w:t>;</w:t>
      </w:r>
      <w:r w:rsidR="00950FC2">
        <w:rPr>
          <w:rFonts w:hint="eastAsia"/>
        </w:rPr>
        <w:t xml:space="preserve"> </w:t>
      </w:r>
      <w:r w:rsidR="00950FC2" w:rsidRPr="00950FC2">
        <w:rPr>
          <w:i/>
          <w:iCs/>
        </w:rPr>
        <w:t>supporting:</w:t>
      </w:r>
      <w:r w:rsidR="00950FC2">
        <w:rPr>
          <w:rFonts w:hint="eastAsia"/>
        </w:rPr>
        <w:t xml:space="preserve"> </w:t>
      </w:r>
      <w:proofErr w:type="spellStart"/>
      <w:r w:rsidR="00950FC2" w:rsidRPr="00950FC2">
        <w:t>SenNet</w:t>
      </w:r>
      <w:proofErr w:type="spellEnd"/>
      <w:r w:rsidR="00950FC2" w:rsidRPr="00950FC2">
        <w:t xml:space="preserve">, </w:t>
      </w:r>
      <w:proofErr w:type="spellStart"/>
      <w:r w:rsidR="00950FC2" w:rsidRPr="00950FC2">
        <w:t>GTEx</w:t>
      </w:r>
      <w:proofErr w:type="spellEnd"/>
      <w:r w:rsidR="00950FC2" w:rsidRPr="00950FC2">
        <w:t>, LINCS.</w:t>
      </w:r>
    </w:p>
    <w:p w14:paraId="3133D37A" w14:textId="3C184434" w:rsidR="00BB18CE" w:rsidRPr="00BB18CE" w:rsidRDefault="00BB18CE" w:rsidP="00BB18CE">
      <w:pPr>
        <w:spacing w:after="160" w:line="278" w:lineRule="auto"/>
      </w:pPr>
      <w:r w:rsidRPr="00BB18CE">
        <w:rPr>
          <w:b/>
          <w:bCs/>
        </w:rPr>
        <w:t>Stage 2 (Variant-to-Transcriptome Propagation).</w:t>
      </w:r>
      <w:r w:rsidR="00CB1FA9">
        <w:rPr>
          <w:rFonts w:hint="eastAsia"/>
        </w:rPr>
        <w:t xml:space="preserve"> </w:t>
      </w:r>
      <w:r w:rsidRPr="00BB18CE">
        <w:t xml:space="preserve">Colocalization applies </w:t>
      </w:r>
      <w:r w:rsidR="00CB1FA9">
        <w:rPr>
          <w:rFonts w:hint="eastAsia"/>
        </w:rPr>
        <w:t xml:space="preserve">COLOC </w:t>
      </w:r>
      <w:r w:rsidRPr="00BB18CE">
        <w:t xml:space="preserve">(H4 posterior probability) and </w:t>
      </w:r>
      <w:proofErr w:type="spellStart"/>
      <w:r w:rsidRPr="00BB18CE">
        <w:t>eCAVIAR</w:t>
      </w:r>
      <w:proofErr w:type="spellEnd"/>
      <w:r w:rsidRPr="00BB18CE">
        <w:t xml:space="preserve"> across </w:t>
      </w:r>
      <w:proofErr w:type="spellStart"/>
      <w:r w:rsidRPr="00BB18CE">
        <w:t>GTEx</w:t>
      </w:r>
      <w:proofErr w:type="spellEnd"/>
      <w:r w:rsidRPr="00BB18CE">
        <w:t xml:space="preserve"> tissues with SMR/HEIDI for pleiotropy assessment. TWAS uses S-</w:t>
      </w:r>
      <w:proofErr w:type="spellStart"/>
      <w:r w:rsidRPr="00BB18CE">
        <w:t>PrediXcan</w:t>
      </w:r>
      <w:proofErr w:type="spellEnd"/>
      <w:r w:rsidRPr="00BB18CE">
        <w:t xml:space="preserve"> and FUSION tissue-specific expression models. Mendelian randomization uses </w:t>
      </w:r>
      <w:proofErr w:type="spellStart"/>
      <w:r w:rsidRPr="00BB18CE">
        <w:lastRenderedPageBreak/>
        <w:t>TwoSampleMR</w:t>
      </w:r>
      <w:proofErr w:type="spellEnd"/>
      <w:r w:rsidRPr="00BB18CE">
        <w:t xml:space="preserve"> with cis-</w:t>
      </w:r>
      <w:proofErr w:type="spellStart"/>
      <w:r w:rsidRPr="00BB18CE">
        <w:t>eQTL</w:t>
      </w:r>
      <w:proofErr w:type="spellEnd"/>
      <w:r w:rsidRPr="00BB18CE">
        <w:t xml:space="preserve"> instruments for directional causal inference.</w:t>
      </w:r>
      <w:r w:rsidR="00CB1FA9">
        <w:rPr>
          <w:rFonts w:hint="eastAsia"/>
        </w:rPr>
        <w:t xml:space="preserve"> </w:t>
      </w:r>
      <w:r w:rsidRPr="00BB18CE">
        <w:rPr>
          <w:i/>
          <w:iCs/>
        </w:rPr>
        <w:t>Primary:</w:t>
      </w:r>
      <w:r w:rsidR="00CB1FA9">
        <w:rPr>
          <w:rFonts w:hint="eastAsia"/>
        </w:rPr>
        <w:t xml:space="preserve"> </w:t>
      </w:r>
      <w:proofErr w:type="spellStart"/>
      <w:r w:rsidRPr="00BB18CE">
        <w:t>GTEx</w:t>
      </w:r>
      <w:proofErr w:type="spellEnd"/>
      <w:r w:rsidRPr="00BB18CE">
        <w:t>;</w:t>
      </w:r>
      <w:r w:rsidR="00CB1FA9">
        <w:rPr>
          <w:rFonts w:hint="eastAsia"/>
        </w:rPr>
        <w:t xml:space="preserve"> </w:t>
      </w:r>
      <w:r w:rsidRPr="00BB18CE">
        <w:rPr>
          <w:i/>
          <w:iCs/>
        </w:rPr>
        <w:t>supporting:</w:t>
      </w:r>
      <w:r w:rsidR="00CB1FA9">
        <w:rPr>
          <w:rFonts w:hint="eastAsia"/>
        </w:rPr>
        <w:t xml:space="preserve"> </w:t>
      </w:r>
      <w:proofErr w:type="spellStart"/>
      <w:r w:rsidRPr="00BB18CE">
        <w:t>MoTrPAC</w:t>
      </w:r>
      <w:proofErr w:type="spellEnd"/>
      <w:r w:rsidRPr="00BB18CE">
        <w:t xml:space="preserve">, </w:t>
      </w:r>
      <w:proofErr w:type="spellStart"/>
      <w:r w:rsidRPr="00BB18CE">
        <w:t>HuBMAP</w:t>
      </w:r>
      <w:proofErr w:type="spellEnd"/>
      <w:r w:rsidRPr="00BB18CE">
        <w:t xml:space="preserve">, </w:t>
      </w:r>
      <w:proofErr w:type="spellStart"/>
      <w:r w:rsidRPr="00BB18CE">
        <w:t>SenNet</w:t>
      </w:r>
      <w:proofErr w:type="spellEnd"/>
      <w:r w:rsidRPr="00BB18CE">
        <w:t xml:space="preserve">, H3Africa, Kids First, UDN, </w:t>
      </w:r>
      <w:proofErr w:type="spellStart"/>
      <w:r w:rsidRPr="00BB18CE">
        <w:t>SMaHT</w:t>
      </w:r>
      <w:proofErr w:type="spellEnd"/>
      <w:r w:rsidRPr="00BB18CE">
        <w:t>.</w:t>
      </w:r>
    </w:p>
    <w:p w14:paraId="2C44CE8E" w14:textId="3B564CEA" w:rsidR="00BB18CE" w:rsidRPr="00BB18CE" w:rsidRDefault="00BB18CE" w:rsidP="00BB18CE">
      <w:pPr>
        <w:spacing w:after="160" w:line="278" w:lineRule="auto"/>
      </w:pPr>
      <w:r w:rsidRPr="00BB18CE">
        <w:rPr>
          <w:b/>
          <w:bCs/>
        </w:rPr>
        <w:t>Stage 3 (</w:t>
      </w:r>
      <w:proofErr w:type="spellStart"/>
      <w:r w:rsidRPr="00BB18CE">
        <w:rPr>
          <w:b/>
          <w:bCs/>
        </w:rPr>
        <w:t>Druggability</w:t>
      </w:r>
      <w:proofErr w:type="spellEnd"/>
      <w:r w:rsidRPr="00BB18CE">
        <w:rPr>
          <w:b/>
          <w:bCs/>
        </w:rPr>
        <w:t xml:space="preserve"> Assessment).</w:t>
      </w:r>
      <w:r w:rsidR="00CB1FA9">
        <w:rPr>
          <w:rFonts w:hint="eastAsia"/>
        </w:rPr>
        <w:t xml:space="preserve"> </w:t>
      </w:r>
      <w:r w:rsidRPr="00BB18CE">
        <w:t>Candidate genes are classified by Target Development Level (</w:t>
      </w:r>
      <w:proofErr w:type="spellStart"/>
      <w:r w:rsidRPr="00BB18CE">
        <w:t>Tclin</w:t>
      </w:r>
      <w:proofErr w:type="spellEnd"/>
      <w:r w:rsidRPr="00BB18CE">
        <w:t xml:space="preserve">, </w:t>
      </w:r>
      <w:proofErr w:type="spellStart"/>
      <w:r w:rsidRPr="00BB18CE">
        <w:t>Tchem</w:t>
      </w:r>
      <w:proofErr w:type="spellEnd"/>
      <w:r w:rsidRPr="00BB18CE">
        <w:t xml:space="preserve">, </w:t>
      </w:r>
      <w:proofErr w:type="spellStart"/>
      <w:r w:rsidRPr="00BB18CE">
        <w:t>Tbio</w:t>
      </w:r>
      <w:proofErr w:type="spellEnd"/>
      <w:r w:rsidRPr="00BB18CE">
        <w:t xml:space="preserve">, </w:t>
      </w:r>
      <w:proofErr w:type="spellStart"/>
      <w:r w:rsidRPr="00BB18CE">
        <w:t>Tdark</w:t>
      </w:r>
      <w:proofErr w:type="spellEnd"/>
      <w:r w:rsidRPr="00BB18CE">
        <w:t xml:space="preserve">) via the IDG TCRD Pharos </w:t>
      </w:r>
      <w:proofErr w:type="spellStart"/>
      <w:r w:rsidRPr="00BB18CE">
        <w:t>GraphQL</w:t>
      </w:r>
      <w:proofErr w:type="spellEnd"/>
      <w:r w:rsidRPr="00BB18CE">
        <w:t xml:space="preserve"> API, supplemented with </w:t>
      </w:r>
      <w:proofErr w:type="spellStart"/>
      <w:r w:rsidRPr="00BB18CE">
        <w:t>ChEMBL</w:t>
      </w:r>
      <w:proofErr w:type="spellEnd"/>
      <w:r w:rsidRPr="00BB18CE">
        <w:t xml:space="preserve"> compound activity data, KOMP2 murine loss-of-function phenotypes, and </w:t>
      </w:r>
      <w:proofErr w:type="spellStart"/>
      <w:r w:rsidRPr="00BB18CE">
        <w:t>GlyGen</w:t>
      </w:r>
      <w:proofErr w:type="spellEnd"/>
      <w:r w:rsidRPr="00BB18CE">
        <w:t xml:space="preserve"> glycoprotein annotations. </w:t>
      </w:r>
      <w:proofErr w:type="spellStart"/>
      <w:r w:rsidRPr="00BB18CE">
        <w:t>GTEx</w:t>
      </w:r>
      <w:proofErr w:type="spellEnd"/>
      <w:r w:rsidRPr="00BB18CE">
        <w:t xml:space="preserve"> expression baselines quantify on-target adverse effect exposure.</w:t>
      </w:r>
      <w:r w:rsidR="00CB1FA9">
        <w:rPr>
          <w:rFonts w:hint="eastAsia"/>
        </w:rPr>
        <w:t xml:space="preserve"> </w:t>
      </w:r>
      <w:r w:rsidRPr="00BB18CE">
        <w:rPr>
          <w:i/>
          <w:iCs/>
        </w:rPr>
        <w:t>Primary:</w:t>
      </w:r>
      <w:r w:rsidR="00CB1FA9">
        <w:rPr>
          <w:rFonts w:hint="eastAsia"/>
        </w:rPr>
        <w:t xml:space="preserve"> </w:t>
      </w:r>
      <w:r w:rsidRPr="00BB18CE">
        <w:t>IDG;</w:t>
      </w:r>
      <w:r w:rsidR="00CB1FA9">
        <w:rPr>
          <w:rFonts w:hint="eastAsia"/>
        </w:rPr>
        <w:t xml:space="preserve"> </w:t>
      </w:r>
      <w:r w:rsidRPr="00BB18CE">
        <w:rPr>
          <w:i/>
          <w:iCs/>
        </w:rPr>
        <w:t>supporting:</w:t>
      </w:r>
      <w:r w:rsidR="00CB1FA9">
        <w:rPr>
          <w:rFonts w:hint="eastAsia"/>
        </w:rPr>
        <w:t xml:space="preserve"> </w:t>
      </w:r>
      <w:r w:rsidRPr="00BB18CE">
        <w:t xml:space="preserve">LINCS, KOMP2, </w:t>
      </w:r>
      <w:proofErr w:type="spellStart"/>
      <w:r w:rsidRPr="00BB18CE">
        <w:t>GTEx</w:t>
      </w:r>
      <w:proofErr w:type="spellEnd"/>
      <w:r w:rsidRPr="00BB18CE">
        <w:t xml:space="preserve">, </w:t>
      </w:r>
      <w:proofErr w:type="spellStart"/>
      <w:r w:rsidRPr="00BB18CE">
        <w:t>GlyGen</w:t>
      </w:r>
      <w:proofErr w:type="spellEnd"/>
      <w:r w:rsidRPr="00BB18CE">
        <w:t>.</w:t>
      </w:r>
    </w:p>
    <w:p w14:paraId="66B4F241" w14:textId="1845DC63" w:rsidR="00BB18CE" w:rsidRPr="00BB18CE" w:rsidRDefault="00BB18CE" w:rsidP="00BB18CE">
      <w:pPr>
        <w:spacing w:after="160" w:line="278" w:lineRule="auto"/>
      </w:pPr>
      <w:r w:rsidRPr="00BB18CE">
        <w:rPr>
          <w:b/>
          <w:bCs/>
        </w:rPr>
        <w:t>Stage 4 (In-Silico Perturbation Simulation).</w:t>
      </w:r>
      <w:r w:rsidR="00CB1FA9">
        <w:rPr>
          <w:rFonts w:hint="eastAsia"/>
        </w:rPr>
        <w:t xml:space="preserve"> </w:t>
      </w:r>
      <w:r w:rsidRPr="00BB18CE">
        <w:t>Disease expression signatures are scored against LINCS L1000 using connectivity tau statistics with permutation-based empirical p-values. Cell-context mismatch between the query signature and LINCS reference cell lines is quantified and propagated as uncertainty metadata on output edges.</w:t>
      </w:r>
      <w:r w:rsidR="00C840CD">
        <w:rPr>
          <w:rFonts w:hint="eastAsia"/>
        </w:rPr>
        <w:t xml:space="preserve"> </w:t>
      </w:r>
      <w:r w:rsidRPr="00BB18CE">
        <w:rPr>
          <w:i/>
          <w:iCs/>
        </w:rPr>
        <w:t>Primary:</w:t>
      </w:r>
      <w:r w:rsidR="00C840CD">
        <w:rPr>
          <w:rFonts w:hint="eastAsia"/>
        </w:rPr>
        <w:t xml:space="preserve"> </w:t>
      </w:r>
      <w:r w:rsidRPr="00BB18CE">
        <w:t>LINCS;</w:t>
      </w:r>
      <w:r w:rsidR="00C840CD">
        <w:rPr>
          <w:rFonts w:hint="eastAsia"/>
        </w:rPr>
        <w:t xml:space="preserve"> </w:t>
      </w:r>
      <w:r w:rsidRPr="00BB18CE">
        <w:rPr>
          <w:i/>
          <w:iCs/>
        </w:rPr>
        <w:t>supporting:</w:t>
      </w:r>
      <w:r w:rsidR="00C840CD">
        <w:rPr>
          <w:rFonts w:hint="eastAsia"/>
        </w:rPr>
        <w:t xml:space="preserve"> </w:t>
      </w:r>
      <w:r w:rsidRPr="00BB18CE">
        <w:t xml:space="preserve">IDG, Bridge2AI, </w:t>
      </w:r>
      <w:proofErr w:type="spellStart"/>
      <w:r w:rsidRPr="00BB18CE">
        <w:t>MoTrPAC</w:t>
      </w:r>
      <w:proofErr w:type="spellEnd"/>
      <w:r w:rsidRPr="00BB18CE">
        <w:t xml:space="preserve">, </w:t>
      </w:r>
      <w:proofErr w:type="spellStart"/>
      <w:r w:rsidRPr="00BB18CE">
        <w:t>SenNet</w:t>
      </w:r>
      <w:proofErr w:type="spellEnd"/>
      <w:r w:rsidRPr="00BB18CE">
        <w:t>.</w:t>
      </w:r>
    </w:p>
    <w:p w14:paraId="46BE8B31" w14:textId="1DB48BF9" w:rsidR="00BB18CE" w:rsidRDefault="00BB18CE" w:rsidP="00BB18CE">
      <w:pPr>
        <w:spacing w:after="160" w:line="278" w:lineRule="auto"/>
      </w:pPr>
      <w:r w:rsidRPr="00BB18CE">
        <w:rPr>
          <w:b/>
          <w:bCs/>
        </w:rPr>
        <w:t>Stage 5 (Transcriptome-to-Proteome Biomarker Projection).</w:t>
      </w:r>
      <w:r w:rsidR="00CB1FA9">
        <w:rPr>
          <w:rFonts w:hint="eastAsia"/>
        </w:rPr>
        <w:t xml:space="preserve"> </w:t>
      </w:r>
      <w:r w:rsidRPr="00BB18CE">
        <w:t xml:space="preserve">Matched transcript-protein pairing uses </w:t>
      </w:r>
      <w:proofErr w:type="spellStart"/>
      <w:r w:rsidRPr="00BB18CE">
        <w:t>MoTrPAC</w:t>
      </w:r>
      <w:proofErr w:type="spellEnd"/>
      <w:r w:rsidRPr="00BB18CE">
        <w:t xml:space="preserve"> multi-</w:t>
      </w:r>
      <w:proofErr w:type="spellStart"/>
      <w:r w:rsidRPr="00BB18CE">
        <w:t>omic</w:t>
      </w:r>
      <w:proofErr w:type="spellEnd"/>
      <w:r w:rsidRPr="00BB18CE">
        <w:t xml:space="preserve"> time series and A2CPS longitudinal cohorts. Survival and treatment-response modeling </w:t>
      </w:r>
      <w:proofErr w:type="gramStart"/>
      <w:r w:rsidRPr="00BB18CE">
        <w:t>uses</w:t>
      </w:r>
      <w:proofErr w:type="gramEnd"/>
      <w:r w:rsidRPr="00BB18CE">
        <w:t xml:space="preserve"> </w:t>
      </w:r>
      <w:proofErr w:type="spellStart"/>
      <w:r w:rsidRPr="00BB18CE">
        <w:t>iHMP</w:t>
      </w:r>
      <w:proofErr w:type="spellEnd"/>
      <w:r w:rsidRPr="00BB18CE">
        <w:t xml:space="preserve"> longitudinal clinical data. Biofluid accessibility is assessed with </w:t>
      </w:r>
      <w:proofErr w:type="spellStart"/>
      <w:r w:rsidRPr="00BB18CE">
        <w:t>GlyGen</w:t>
      </w:r>
      <w:proofErr w:type="spellEnd"/>
      <w:r w:rsidRPr="00BB18CE">
        <w:t xml:space="preserve"> glycoproteomic annotations and </w:t>
      </w:r>
      <w:proofErr w:type="spellStart"/>
      <w:r w:rsidRPr="00BB18CE">
        <w:t>ExRNA</w:t>
      </w:r>
      <w:proofErr w:type="spellEnd"/>
      <w:r w:rsidRPr="00BB18CE">
        <w:t xml:space="preserve"> biofluid catalogs. </w:t>
      </w:r>
      <w:r w:rsidRPr="00BB18CE">
        <w:rPr>
          <w:i/>
          <w:iCs/>
        </w:rPr>
        <w:t>Primary:</w:t>
      </w:r>
      <w:r w:rsidRPr="00BB18CE">
        <w:t> </w:t>
      </w:r>
      <w:proofErr w:type="spellStart"/>
      <w:r w:rsidRPr="00BB18CE">
        <w:t>MoTrPAC</w:t>
      </w:r>
      <w:proofErr w:type="spellEnd"/>
      <w:r w:rsidRPr="00BB18CE">
        <w:t xml:space="preserve">, A2CPS, </w:t>
      </w:r>
      <w:proofErr w:type="spellStart"/>
      <w:r w:rsidRPr="00BB18CE">
        <w:t>iHMP</w:t>
      </w:r>
      <w:proofErr w:type="spellEnd"/>
      <w:r w:rsidRPr="00BB18CE">
        <w:t>;</w:t>
      </w:r>
      <w:r w:rsidR="00CB1FA9">
        <w:rPr>
          <w:rFonts w:hint="eastAsia"/>
        </w:rPr>
        <w:t xml:space="preserve"> </w:t>
      </w:r>
      <w:r w:rsidRPr="00BB18CE">
        <w:rPr>
          <w:i/>
          <w:iCs/>
        </w:rPr>
        <w:t>supporting:</w:t>
      </w:r>
      <w:r w:rsidR="00CB1FA9">
        <w:rPr>
          <w:rFonts w:hint="eastAsia"/>
        </w:rPr>
        <w:t xml:space="preserve"> </w:t>
      </w:r>
      <w:proofErr w:type="spellStart"/>
      <w:r w:rsidRPr="00BB18CE">
        <w:t>ExRNA</w:t>
      </w:r>
      <w:proofErr w:type="spellEnd"/>
      <w:r w:rsidRPr="00BB18CE">
        <w:t xml:space="preserve">, </w:t>
      </w:r>
      <w:proofErr w:type="spellStart"/>
      <w:r w:rsidRPr="00BB18CE">
        <w:t>GlyGen</w:t>
      </w:r>
      <w:proofErr w:type="spellEnd"/>
      <w:r w:rsidRPr="00BB18CE">
        <w:t>, Metabolomics Workbench, Bridge2AI.</w:t>
      </w:r>
    </w:p>
    <w:p w14:paraId="4614937D" w14:textId="77777777" w:rsidR="00BB18CE" w:rsidRPr="00BB18CE" w:rsidRDefault="00BB18CE" w:rsidP="007A2B28">
      <w:pPr>
        <w:pStyle w:val="2"/>
      </w:pPr>
      <w:r w:rsidRPr="00BB18CE">
        <w:t>3.2 Software Architecture</w:t>
      </w:r>
    </w:p>
    <w:p w14:paraId="632B0C3A" w14:textId="78817686" w:rsidR="00BB18CE" w:rsidRDefault="00BB18CE" w:rsidP="00E90BA3">
      <w:proofErr w:type="spellStart"/>
      <w:r w:rsidRPr="00BB18CE">
        <w:t>AgentGWAS</w:t>
      </w:r>
      <w:proofErr w:type="spellEnd"/>
      <w:r w:rsidRPr="00BB18CE">
        <w:t xml:space="preserve"> is implemented as six layers: a </w:t>
      </w:r>
      <w:proofErr w:type="spellStart"/>
      <w:r w:rsidRPr="00BB18CE">
        <w:t>Streamlit</w:t>
      </w:r>
      <w:proofErr w:type="spellEnd"/>
      <w:r w:rsidRPr="00BB18CE">
        <w:t xml:space="preserve"> GUI or React/</w:t>
      </w:r>
      <w:proofErr w:type="spellStart"/>
      <w:r w:rsidRPr="00BB18CE">
        <w:t>FastAPI</w:t>
      </w:r>
      <w:proofErr w:type="spellEnd"/>
      <w:r w:rsidRPr="00BB18CE">
        <w:t xml:space="preserve"> application for query submission and plan review; a planner agent producing </w:t>
      </w:r>
      <w:proofErr w:type="spellStart"/>
      <w:r w:rsidRPr="00BB18CE">
        <w:t>Pydantic</w:t>
      </w:r>
      <w:proofErr w:type="spellEnd"/>
      <w:r w:rsidRPr="00BB18CE">
        <w:t xml:space="preserve">-validated </w:t>
      </w:r>
      <w:proofErr w:type="spellStart"/>
      <w:r w:rsidRPr="00BB18CE">
        <w:t>SessionPlan</w:t>
      </w:r>
      <w:proofErr w:type="spellEnd"/>
      <w:r w:rsidRPr="00BB18CE">
        <w:t xml:space="preserve"> objects with pre-execution access governance; a session management layer using SQLite/DynamoDB with Celery/SQS task dispatch; a </w:t>
      </w:r>
      <w:proofErr w:type="spellStart"/>
      <w:r w:rsidRPr="00BB18CE">
        <w:t>LangGraph</w:t>
      </w:r>
      <w:proofErr w:type="spellEnd"/>
      <w:r w:rsidRPr="00BB18CE">
        <w:t xml:space="preserve"> orchestration layer with per-stage </w:t>
      </w:r>
      <w:proofErr w:type="spellStart"/>
      <w:r w:rsidRPr="00BB18CE">
        <w:t>StateGraph</w:t>
      </w:r>
      <w:proofErr w:type="spellEnd"/>
      <w:r w:rsidRPr="00BB18CE">
        <w:t xml:space="preserve"> subgraphs sharing the </w:t>
      </w:r>
      <w:proofErr w:type="spellStart"/>
      <w:r w:rsidRPr="00BB18CE">
        <w:t>PipelineState</w:t>
      </w:r>
      <w:proofErr w:type="spellEnd"/>
      <w:r w:rsidRPr="00BB18CE">
        <w:t xml:space="preserve"> object; a bioinformatics compute layer executing statistical tools (</w:t>
      </w:r>
      <w:proofErr w:type="spellStart"/>
      <w:r w:rsidRPr="00BB18CE">
        <w:t>SuSiE</w:t>
      </w:r>
      <w:proofErr w:type="spellEnd"/>
      <w:r w:rsidRPr="00BB18CE">
        <w:t xml:space="preserve">, FINEMAP, </w:t>
      </w:r>
      <w:proofErr w:type="spellStart"/>
      <w:r w:rsidRPr="00BB18CE">
        <w:t>coloc</w:t>
      </w:r>
      <w:proofErr w:type="spellEnd"/>
      <w:r w:rsidRPr="00BB18CE">
        <w:t>, S-</w:t>
      </w:r>
      <w:proofErr w:type="spellStart"/>
      <w:r w:rsidRPr="00BB18CE">
        <w:t>PrediXcan</w:t>
      </w:r>
      <w:proofErr w:type="spellEnd"/>
      <w:r w:rsidRPr="00BB18CE">
        <w:t xml:space="preserve">, LINCS connectivity) as containerized </w:t>
      </w:r>
      <w:proofErr w:type="spellStart"/>
      <w:r w:rsidRPr="00BB18CE">
        <w:t>Nextflow</w:t>
      </w:r>
      <w:proofErr w:type="spellEnd"/>
      <w:r w:rsidRPr="00BB18CE">
        <w:t xml:space="preserve"> processes; and a Neo4j/Neptune knowledge graph with W3C PROV-compatible provenance logging.</w:t>
      </w:r>
    </w:p>
    <w:p w14:paraId="7633AB2C" w14:textId="77777777" w:rsidR="00BB18CE" w:rsidRPr="00BB18CE" w:rsidRDefault="00BB18CE" w:rsidP="007A2B28">
      <w:pPr>
        <w:pStyle w:val="2"/>
      </w:pPr>
      <w:r w:rsidRPr="00BB18CE">
        <w:t>3.3 Validation and Implementation Timeline</w:t>
      </w:r>
    </w:p>
    <w:p w14:paraId="2298ADDB" w14:textId="714EE3BD" w:rsidR="00BB18CE" w:rsidRPr="00BB18CE" w:rsidRDefault="00BB18CE" w:rsidP="00BB18CE">
      <w:pPr>
        <w:spacing w:after="160" w:line="278" w:lineRule="auto"/>
      </w:pPr>
      <w:r w:rsidRPr="00BB18CE">
        <w:rPr>
          <w:b/>
          <w:bCs/>
        </w:rPr>
        <w:t>Benchmark metrics</w:t>
      </w:r>
      <w:r>
        <w:rPr>
          <w:rFonts w:hint="eastAsia"/>
          <w:b/>
          <w:bCs/>
        </w:rPr>
        <w:t xml:space="preserve">: </w:t>
      </w:r>
      <w:r w:rsidRPr="00BB18CE">
        <w:t xml:space="preserve">(1) The expected causal gene must appear in the top-ranked Stage 1 output for all four loci. (2) </w:t>
      </w:r>
      <w:proofErr w:type="spellStart"/>
      <w:r w:rsidRPr="00BB18CE">
        <w:t>Tclin</w:t>
      </w:r>
      <w:proofErr w:type="spellEnd"/>
      <w:r w:rsidRPr="00BB18CE">
        <w:t xml:space="preserve"> classification must be recovered for PCSK9 and APOC3; </w:t>
      </w:r>
      <w:proofErr w:type="spellStart"/>
      <w:r w:rsidRPr="00BB18CE">
        <w:t>Tchem</w:t>
      </w:r>
      <w:proofErr w:type="spellEnd"/>
      <w:r w:rsidRPr="00BB18CE">
        <w:t xml:space="preserve"> or above for SLC30A8. (3) Five-stage pipeline completion without unrecoverable error for all four loci. PCSK9 and APOC3 serve as positive controls with full liver coverage across </w:t>
      </w:r>
      <w:proofErr w:type="spellStart"/>
      <w:r w:rsidRPr="00BB18CE">
        <w:t>GTEx</w:t>
      </w:r>
      <w:proofErr w:type="spellEnd"/>
      <w:r w:rsidRPr="00BB18CE">
        <w:t xml:space="preserve">, </w:t>
      </w:r>
      <w:proofErr w:type="spellStart"/>
      <w:r w:rsidRPr="00BB18CE">
        <w:t>HuBMAP</w:t>
      </w:r>
      <w:proofErr w:type="spellEnd"/>
      <w:r w:rsidRPr="00BB18CE">
        <w:t xml:space="preserve">, and LINCS. TCF7L2 and SLC30A8 test access governance flagging under the pancreatic islet </w:t>
      </w:r>
      <w:proofErr w:type="spellStart"/>
      <w:r w:rsidRPr="00BB18CE">
        <w:t>eQTL</w:t>
      </w:r>
      <w:proofErr w:type="spellEnd"/>
      <w:r w:rsidRPr="00BB18CE">
        <w:t xml:space="preserve"> gap condition.</w:t>
      </w:r>
    </w:p>
    <w:p w14:paraId="0F7269DB" w14:textId="1693B582" w:rsidR="00BB18CE" w:rsidRPr="00BB18CE" w:rsidRDefault="00BB18CE" w:rsidP="00E90BA3">
      <w:pPr>
        <w:rPr>
          <w:rFonts w:hint="eastAsia"/>
        </w:rPr>
      </w:pPr>
      <w:r w:rsidRPr="00BB18CE">
        <w:rPr>
          <w:b/>
          <w:bCs/>
        </w:rPr>
        <w:t>Milestones</w:t>
      </w:r>
      <w:r>
        <w:rPr>
          <w:rFonts w:hint="eastAsia"/>
          <w:b/>
          <w:bCs/>
        </w:rPr>
        <w:t xml:space="preserve">: </w:t>
      </w:r>
      <w:r w:rsidRPr="00BB18CE">
        <w:t xml:space="preserve">Months 1-3: knowledge graph schema and </w:t>
      </w:r>
      <w:proofErr w:type="spellStart"/>
      <w:r w:rsidRPr="00BB18CE">
        <w:t>PipelineState</w:t>
      </w:r>
      <w:proofErr w:type="spellEnd"/>
      <w:r w:rsidRPr="00BB18CE">
        <w:t xml:space="preserve"> models. Months 3-6: planner agent, GUI, and access governance module. Months 6-9: Stage 2 end-to-end validation at TCF7L2. Months 9-14: Stage 1 and integrated Stages 1-2 at all benchmark loci. Months 14-20: Stages 3-5 with parallel dispatch validation. Months 20-24: </w:t>
      </w:r>
      <w:r w:rsidR="00615058">
        <w:rPr>
          <w:rFonts w:hint="eastAsia"/>
        </w:rPr>
        <w:t>Cloud</w:t>
      </w:r>
      <w:r w:rsidRPr="00BB18CE">
        <w:t xml:space="preserve"> deployment and public release.</w:t>
      </w:r>
    </w:p>
    <w:p w14:paraId="4F49F43B" w14:textId="07C5C2F3" w:rsidR="00751BD0" w:rsidRDefault="00E90BA3" w:rsidP="00E90BA3">
      <w:pPr>
        <w:pStyle w:val="1"/>
      </w:pPr>
      <w:r>
        <w:rPr>
          <w:rFonts w:hint="eastAsia"/>
        </w:rPr>
        <w:t xml:space="preserve">Reference </w:t>
      </w:r>
    </w:p>
    <w:p w14:paraId="6FE99614" w14:textId="77777777" w:rsidR="00CB1FA9" w:rsidRPr="00CB1FA9" w:rsidRDefault="00CB1FA9" w:rsidP="00CB1FA9">
      <w:pPr>
        <w:spacing w:after="160" w:line="240" w:lineRule="auto"/>
      </w:pPr>
      <w:r w:rsidRPr="00CB1FA9">
        <w:rPr>
          <w:lang w:val="fr-FR"/>
        </w:rPr>
        <w:lastRenderedPageBreak/>
        <w:t xml:space="preserve">Barbeira, A.N. et al. </w:t>
      </w:r>
      <w:r w:rsidRPr="00CB1FA9">
        <w:t>Exploring phenotypic consequences of tissue specific gene expression variation inferred from GWAS summary statistics. </w:t>
      </w:r>
      <w:r w:rsidRPr="00CB1FA9">
        <w:rPr>
          <w:i/>
          <w:iCs/>
        </w:rPr>
        <w:t>Nat. Commun.</w:t>
      </w:r>
      <w:r w:rsidRPr="00CB1FA9">
        <w:t> </w:t>
      </w:r>
      <w:r w:rsidRPr="00CB1FA9">
        <w:rPr>
          <w:b/>
          <w:bCs/>
        </w:rPr>
        <w:t>9</w:t>
      </w:r>
      <w:r w:rsidRPr="00CB1FA9">
        <w:t>, 1825 (2018). </w:t>
      </w:r>
      <w:hyperlink r:id="rId8" w:history="1">
        <w:r w:rsidRPr="00CB1FA9">
          <w:rPr>
            <w:rStyle w:val="ae"/>
          </w:rPr>
          <w:t>https://doi.org/10.1038/s41467-018-03621-1</w:t>
        </w:r>
      </w:hyperlink>
    </w:p>
    <w:p w14:paraId="6F2F6411" w14:textId="77777777" w:rsidR="00CB1FA9" w:rsidRPr="00CB1FA9" w:rsidRDefault="00CB1FA9" w:rsidP="00CB1FA9">
      <w:pPr>
        <w:spacing w:after="160" w:line="240" w:lineRule="auto"/>
        <w:rPr>
          <w:lang w:val="fr-FR"/>
        </w:rPr>
      </w:pPr>
      <w:proofErr w:type="spellStart"/>
      <w:r w:rsidRPr="00CB1FA9">
        <w:t>Cano</w:t>
      </w:r>
      <w:proofErr w:type="spellEnd"/>
      <w:r w:rsidRPr="00CB1FA9">
        <w:t xml:space="preserve">-Gamez, E. &amp; </w:t>
      </w:r>
      <w:proofErr w:type="spellStart"/>
      <w:r w:rsidRPr="00CB1FA9">
        <w:t>Trynka</w:t>
      </w:r>
      <w:proofErr w:type="spellEnd"/>
      <w:r w:rsidRPr="00CB1FA9">
        <w:t>, G. From GWAS to function: using functional genomics to identify the mechanisms underlying complex diseases. </w:t>
      </w:r>
      <w:r w:rsidRPr="00CB1FA9">
        <w:rPr>
          <w:i/>
          <w:iCs/>
          <w:lang w:val="fr-FR"/>
        </w:rPr>
        <w:t>Front. Genet.</w:t>
      </w:r>
      <w:r w:rsidRPr="00CB1FA9">
        <w:rPr>
          <w:lang w:val="fr-FR"/>
        </w:rPr>
        <w:t> </w:t>
      </w:r>
      <w:r w:rsidRPr="00CB1FA9">
        <w:rPr>
          <w:b/>
          <w:bCs/>
          <w:lang w:val="fr-FR"/>
        </w:rPr>
        <w:t>11</w:t>
      </w:r>
      <w:r w:rsidRPr="00CB1FA9">
        <w:rPr>
          <w:lang w:val="fr-FR"/>
        </w:rPr>
        <w:t>, 424 (2020). </w:t>
      </w:r>
      <w:r w:rsidRPr="00CB1FA9">
        <w:fldChar w:fldCharType="begin"/>
      </w:r>
      <w:r w:rsidRPr="00CB1FA9">
        <w:rPr>
          <w:lang w:val="fr-FR"/>
        </w:rPr>
        <w:instrText>HYPERLINK "https://doi.org/10.3389/fgene.2020.00424"</w:instrText>
      </w:r>
      <w:r w:rsidRPr="00CB1FA9">
        <w:fldChar w:fldCharType="separate"/>
      </w:r>
      <w:r w:rsidRPr="00CB1FA9">
        <w:rPr>
          <w:rStyle w:val="ae"/>
          <w:lang w:val="fr-FR"/>
        </w:rPr>
        <w:t>https://doi.org/10.3389/fgene.2020.00424</w:t>
      </w:r>
      <w:r w:rsidRPr="00CB1FA9">
        <w:fldChar w:fldCharType="end"/>
      </w:r>
    </w:p>
    <w:p w14:paraId="081EC21C" w14:textId="77777777" w:rsidR="00CB1FA9" w:rsidRPr="00CB1FA9" w:rsidRDefault="00CB1FA9" w:rsidP="00CB1FA9">
      <w:pPr>
        <w:spacing w:after="160" w:line="240" w:lineRule="auto"/>
        <w:rPr>
          <w:lang w:val="de-DE"/>
        </w:rPr>
      </w:pPr>
      <w:r w:rsidRPr="00CB1FA9">
        <w:rPr>
          <w:lang w:val="fr-FR"/>
        </w:rPr>
        <w:t xml:space="preserve">Chen, X. et al. </w:t>
      </w:r>
      <w:r w:rsidRPr="00CB1FA9">
        <w:t>Artificial intelligence agents for biological research: a survey. </w:t>
      </w:r>
      <w:r w:rsidRPr="00CB1FA9">
        <w:rPr>
          <w:i/>
          <w:iCs/>
          <w:lang w:val="de-DE"/>
        </w:rPr>
        <w:t>Brief. Bioinform.</w:t>
      </w:r>
      <w:r w:rsidRPr="00CB1FA9">
        <w:rPr>
          <w:lang w:val="de-DE"/>
        </w:rPr>
        <w:t> </w:t>
      </w:r>
      <w:r w:rsidRPr="00CB1FA9">
        <w:rPr>
          <w:b/>
          <w:bCs/>
          <w:lang w:val="de-DE"/>
        </w:rPr>
        <w:t>27</w:t>
      </w:r>
      <w:r w:rsidRPr="00CB1FA9">
        <w:rPr>
          <w:lang w:val="de-DE"/>
        </w:rPr>
        <w:t>, bbag075 (2025). </w:t>
      </w:r>
      <w:r w:rsidRPr="00CB1FA9">
        <w:fldChar w:fldCharType="begin"/>
      </w:r>
      <w:r w:rsidRPr="00CB1FA9">
        <w:rPr>
          <w:lang w:val="de-DE"/>
        </w:rPr>
        <w:instrText>HYPERLINK "https://doi.org/10.1093/bib/bbag075"</w:instrText>
      </w:r>
      <w:r w:rsidRPr="00CB1FA9">
        <w:fldChar w:fldCharType="separate"/>
      </w:r>
      <w:r w:rsidRPr="00CB1FA9">
        <w:rPr>
          <w:rStyle w:val="ae"/>
          <w:lang w:val="de-DE"/>
        </w:rPr>
        <w:t>https://doi.org/10.1093/bib/bbag075</w:t>
      </w:r>
      <w:r w:rsidRPr="00CB1FA9">
        <w:fldChar w:fldCharType="end"/>
      </w:r>
    </w:p>
    <w:p w14:paraId="1F096F3C" w14:textId="77777777" w:rsidR="00CB1FA9" w:rsidRPr="00CB1FA9" w:rsidRDefault="00CB1FA9" w:rsidP="00CB1FA9">
      <w:pPr>
        <w:spacing w:after="160" w:line="240" w:lineRule="auto"/>
        <w:rPr>
          <w:lang w:val="fr-FR"/>
        </w:rPr>
      </w:pPr>
      <w:r w:rsidRPr="00CB1FA9">
        <w:rPr>
          <w:lang w:val="de-DE"/>
        </w:rPr>
        <w:t xml:space="preserve">Claussnitzer, M. et al. </w:t>
      </w:r>
      <w:r w:rsidRPr="00CB1FA9">
        <w:t>A brief history of human disease genetics. </w:t>
      </w:r>
      <w:r w:rsidRPr="00CB1FA9">
        <w:rPr>
          <w:i/>
          <w:iCs/>
          <w:lang w:val="fr-FR"/>
        </w:rPr>
        <w:t>Nature</w:t>
      </w:r>
      <w:r w:rsidRPr="00CB1FA9">
        <w:rPr>
          <w:lang w:val="fr-FR"/>
        </w:rPr>
        <w:t> </w:t>
      </w:r>
      <w:r w:rsidRPr="00CB1FA9">
        <w:rPr>
          <w:b/>
          <w:bCs/>
          <w:lang w:val="fr-FR"/>
        </w:rPr>
        <w:t>577</w:t>
      </w:r>
      <w:r w:rsidRPr="00CB1FA9">
        <w:rPr>
          <w:lang w:val="fr-FR"/>
        </w:rPr>
        <w:t>, 179–189 (2020). </w:t>
      </w:r>
      <w:r w:rsidRPr="00CB1FA9">
        <w:fldChar w:fldCharType="begin"/>
      </w:r>
      <w:r w:rsidRPr="00CB1FA9">
        <w:rPr>
          <w:lang w:val="fr-FR"/>
        </w:rPr>
        <w:instrText>HYPERLINK "https://doi.org/10.1038/s41586-019-1879-7"</w:instrText>
      </w:r>
      <w:r w:rsidRPr="00CB1FA9">
        <w:fldChar w:fldCharType="separate"/>
      </w:r>
      <w:r w:rsidRPr="00CB1FA9">
        <w:rPr>
          <w:rStyle w:val="ae"/>
          <w:lang w:val="fr-FR"/>
        </w:rPr>
        <w:t>https://doi.org/10.1038/s41586-019-1879-7</w:t>
      </w:r>
      <w:r w:rsidRPr="00CB1FA9">
        <w:fldChar w:fldCharType="end"/>
      </w:r>
    </w:p>
    <w:p w14:paraId="47FD1A14" w14:textId="77777777" w:rsidR="00CB1FA9" w:rsidRPr="00CB1FA9" w:rsidRDefault="00CB1FA9" w:rsidP="00CB1FA9">
      <w:pPr>
        <w:spacing w:after="160" w:line="240" w:lineRule="auto"/>
      </w:pPr>
      <w:r w:rsidRPr="00CB1FA9">
        <w:rPr>
          <w:lang w:val="fr-FR"/>
        </w:rPr>
        <w:t xml:space="preserve">Falola, O. et al. </w:t>
      </w:r>
      <w:proofErr w:type="spellStart"/>
      <w:r w:rsidRPr="00CB1FA9">
        <w:t>SysBiolPGWAS</w:t>
      </w:r>
      <w:proofErr w:type="spellEnd"/>
      <w:r w:rsidRPr="00CB1FA9">
        <w:t xml:space="preserve">: simplifying post-GWAS analysis </w:t>
      </w:r>
      <w:proofErr w:type="gramStart"/>
      <w:r w:rsidRPr="00CB1FA9">
        <w:t>through the use of</w:t>
      </w:r>
      <w:proofErr w:type="gramEnd"/>
      <w:r w:rsidRPr="00CB1FA9">
        <w:t xml:space="preserve"> computational technologies and integration of diverse omics datasets. </w:t>
      </w:r>
      <w:r w:rsidRPr="00CB1FA9">
        <w:rPr>
          <w:i/>
          <w:iCs/>
        </w:rPr>
        <w:t>Bioinformatics</w:t>
      </w:r>
      <w:r w:rsidRPr="00CB1FA9">
        <w:t> </w:t>
      </w:r>
      <w:r w:rsidRPr="00CB1FA9">
        <w:rPr>
          <w:b/>
          <w:bCs/>
        </w:rPr>
        <w:t>39</w:t>
      </w:r>
      <w:r w:rsidRPr="00CB1FA9">
        <w:t>, btac791 (2023). </w:t>
      </w:r>
      <w:hyperlink r:id="rId9" w:history="1">
        <w:r w:rsidRPr="00CB1FA9">
          <w:rPr>
            <w:rStyle w:val="ae"/>
          </w:rPr>
          <w:t>https://doi.org/10.1093/bioinformatics/btac791</w:t>
        </w:r>
      </w:hyperlink>
    </w:p>
    <w:p w14:paraId="53DE3D78" w14:textId="77777777" w:rsidR="00CB1FA9" w:rsidRPr="00CB1FA9" w:rsidRDefault="00CB1FA9" w:rsidP="00CB1FA9">
      <w:pPr>
        <w:spacing w:after="160" w:line="240" w:lineRule="auto"/>
      </w:pPr>
      <w:r w:rsidRPr="00CB1FA9">
        <w:t>Fulco, C.P. et al. Activity-by-contact model of enhancer-promoter regulation from thousands of CRISPR perturbations. </w:t>
      </w:r>
      <w:r w:rsidRPr="00CB1FA9">
        <w:rPr>
          <w:i/>
          <w:iCs/>
        </w:rPr>
        <w:t>Nat. Genet.</w:t>
      </w:r>
      <w:r w:rsidRPr="00CB1FA9">
        <w:t> </w:t>
      </w:r>
      <w:r w:rsidRPr="00CB1FA9">
        <w:rPr>
          <w:b/>
          <w:bCs/>
        </w:rPr>
        <w:t>51</w:t>
      </w:r>
      <w:r w:rsidRPr="00CB1FA9">
        <w:t>, 1664–1669 (2019). </w:t>
      </w:r>
      <w:hyperlink r:id="rId10" w:history="1">
        <w:r w:rsidRPr="00CB1FA9">
          <w:rPr>
            <w:rStyle w:val="ae"/>
          </w:rPr>
          <w:t>https://doi.org/10.1038/s41588-019-0538-0</w:t>
        </w:r>
      </w:hyperlink>
    </w:p>
    <w:p w14:paraId="0FE8F405" w14:textId="77777777" w:rsidR="00CB1FA9" w:rsidRPr="00CB1FA9" w:rsidRDefault="00CB1FA9" w:rsidP="00CB1FA9">
      <w:pPr>
        <w:spacing w:after="160" w:line="240" w:lineRule="auto"/>
        <w:rPr>
          <w:lang w:val="de-DE"/>
        </w:rPr>
      </w:pPr>
      <w:r w:rsidRPr="00CB1FA9">
        <w:t>Gallagher, M.D. &amp; Chen-Plotkin, A.S. The post-GWAS era: from association to function. </w:t>
      </w:r>
      <w:r w:rsidRPr="00CB1FA9">
        <w:rPr>
          <w:i/>
          <w:iCs/>
          <w:lang w:val="de-DE"/>
        </w:rPr>
        <w:t>Am. J. Hum. Genet.</w:t>
      </w:r>
      <w:r w:rsidRPr="00CB1FA9">
        <w:rPr>
          <w:lang w:val="de-DE"/>
        </w:rPr>
        <w:t> </w:t>
      </w:r>
      <w:r w:rsidRPr="00CB1FA9">
        <w:rPr>
          <w:b/>
          <w:bCs/>
          <w:lang w:val="de-DE"/>
        </w:rPr>
        <w:t>102</w:t>
      </w:r>
      <w:r w:rsidRPr="00CB1FA9">
        <w:rPr>
          <w:lang w:val="de-DE"/>
        </w:rPr>
        <w:t>, 717–730 (2018). </w:t>
      </w:r>
      <w:r w:rsidRPr="00CB1FA9">
        <w:fldChar w:fldCharType="begin"/>
      </w:r>
      <w:r w:rsidRPr="00CB1FA9">
        <w:rPr>
          <w:lang w:val="de-DE"/>
        </w:rPr>
        <w:instrText>HYPERLINK "https://doi.org/10.1016/j.ajhg.2018.04.002"</w:instrText>
      </w:r>
      <w:r w:rsidRPr="00CB1FA9">
        <w:fldChar w:fldCharType="separate"/>
      </w:r>
      <w:r w:rsidRPr="00CB1FA9">
        <w:rPr>
          <w:rStyle w:val="ae"/>
          <w:lang w:val="de-DE"/>
        </w:rPr>
        <w:t>https://doi.org/10.1016/j.ajhg.2018.04.002</w:t>
      </w:r>
      <w:r w:rsidRPr="00CB1FA9">
        <w:fldChar w:fldCharType="end"/>
      </w:r>
    </w:p>
    <w:p w14:paraId="76E62BF8" w14:textId="77777777" w:rsidR="00CB1FA9" w:rsidRPr="00CB1FA9" w:rsidRDefault="00CB1FA9" w:rsidP="00CB1FA9">
      <w:pPr>
        <w:spacing w:after="160" w:line="240" w:lineRule="auto"/>
        <w:rPr>
          <w:lang w:val="de-DE"/>
        </w:rPr>
      </w:pPr>
      <w:proofErr w:type="spellStart"/>
      <w:r w:rsidRPr="00CB1FA9">
        <w:t>Giambartolomei</w:t>
      </w:r>
      <w:proofErr w:type="spellEnd"/>
      <w:r w:rsidRPr="00CB1FA9">
        <w:t xml:space="preserve">, C. et al. Bayesian test for </w:t>
      </w:r>
      <w:proofErr w:type="spellStart"/>
      <w:r w:rsidRPr="00CB1FA9">
        <w:t>colocalisation</w:t>
      </w:r>
      <w:proofErr w:type="spellEnd"/>
      <w:r w:rsidRPr="00CB1FA9">
        <w:t xml:space="preserve"> between pairs of genetic association studies using summary statistics. </w:t>
      </w:r>
      <w:r w:rsidRPr="00CB1FA9">
        <w:rPr>
          <w:i/>
          <w:iCs/>
          <w:lang w:val="de-DE"/>
        </w:rPr>
        <w:t>PLoS Genet.</w:t>
      </w:r>
      <w:r w:rsidRPr="00CB1FA9">
        <w:rPr>
          <w:lang w:val="de-DE"/>
        </w:rPr>
        <w:t> </w:t>
      </w:r>
      <w:r w:rsidRPr="00CB1FA9">
        <w:rPr>
          <w:b/>
          <w:bCs/>
          <w:lang w:val="de-DE"/>
        </w:rPr>
        <w:t>10</w:t>
      </w:r>
      <w:r w:rsidRPr="00CB1FA9">
        <w:rPr>
          <w:lang w:val="de-DE"/>
        </w:rPr>
        <w:t>, e1004383 (2014). </w:t>
      </w:r>
      <w:r w:rsidRPr="00CB1FA9">
        <w:fldChar w:fldCharType="begin"/>
      </w:r>
      <w:r w:rsidRPr="00CB1FA9">
        <w:rPr>
          <w:lang w:val="de-DE"/>
        </w:rPr>
        <w:instrText>HYPERLINK "https://doi.org/10.1371/journal.pgen.1004383"</w:instrText>
      </w:r>
      <w:r w:rsidRPr="00CB1FA9">
        <w:fldChar w:fldCharType="separate"/>
      </w:r>
      <w:r w:rsidRPr="00CB1FA9">
        <w:rPr>
          <w:rStyle w:val="ae"/>
          <w:lang w:val="de-DE"/>
        </w:rPr>
        <w:t>https://doi.org/10.1371/journal.pgen.1004383</w:t>
      </w:r>
      <w:r w:rsidRPr="00CB1FA9">
        <w:fldChar w:fldCharType="end"/>
      </w:r>
    </w:p>
    <w:p w14:paraId="7731C639" w14:textId="77777777" w:rsidR="00CB1FA9" w:rsidRPr="00CB1FA9" w:rsidRDefault="00CB1FA9" w:rsidP="00CB1FA9">
      <w:pPr>
        <w:spacing w:after="160" w:line="240" w:lineRule="auto"/>
        <w:rPr>
          <w:lang w:val="fr-FR"/>
        </w:rPr>
      </w:pPr>
      <w:r w:rsidRPr="00CB1FA9">
        <w:rPr>
          <w:lang w:val="de-DE"/>
        </w:rPr>
        <w:t xml:space="preserve">GTEx Consortium. </w:t>
      </w:r>
      <w:r w:rsidRPr="00CB1FA9">
        <w:t xml:space="preserve">The </w:t>
      </w:r>
      <w:proofErr w:type="spellStart"/>
      <w:r w:rsidRPr="00CB1FA9">
        <w:t>GTEx</w:t>
      </w:r>
      <w:proofErr w:type="spellEnd"/>
      <w:r w:rsidRPr="00CB1FA9">
        <w:t xml:space="preserve"> Consortium atlas of genetic regulatory effects across human tissues. </w:t>
      </w:r>
      <w:r w:rsidRPr="00CB1FA9">
        <w:rPr>
          <w:i/>
          <w:iCs/>
          <w:lang w:val="fr-FR"/>
        </w:rPr>
        <w:t>Science</w:t>
      </w:r>
      <w:r w:rsidRPr="00CB1FA9">
        <w:rPr>
          <w:lang w:val="fr-FR"/>
        </w:rPr>
        <w:t> </w:t>
      </w:r>
      <w:r w:rsidRPr="00CB1FA9">
        <w:rPr>
          <w:b/>
          <w:bCs/>
          <w:lang w:val="fr-FR"/>
        </w:rPr>
        <w:t>369</w:t>
      </w:r>
      <w:r w:rsidRPr="00CB1FA9">
        <w:rPr>
          <w:lang w:val="fr-FR"/>
        </w:rPr>
        <w:t>, eaaz1776 (2020). </w:t>
      </w:r>
      <w:r w:rsidRPr="00CB1FA9">
        <w:fldChar w:fldCharType="begin"/>
      </w:r>
      <w:r w:rsidRPr="00CB1FA9">
        <w:rPr>
          <w:lang w:val="fr-FR"/>
        </w:rPr>
        <w:instrText>HYPERLINK "https://doi.org/10.1126/science.aaz1776"</w:instrText>
      </w:r>
      <w:r w:rsidRPr="00CB1FA9">
        <w:fldChar w:fldCharType="separate"/>
      </w:r>
      <w:r w:rsidRPr="00CB1FA9">
        <w:rPr>
          <w:rStyle w:val="ae"/>
          <w:lang w:val="fr-FR"/>
        </w:rPr>
        <w:t>https://doi.org/10.1126/science.aaz1776</w:t>
      </w:r>
      <w:r w:rsidRPr="00CB1FA9">
        <w:fldChar w:fldCharType="end"/>
      </w:r>
    </w:p>
    <w:p w14:paraId="4B8E5FBC" w14:textId="77777777" w:rsidR="00CB1FA9" w:rsidRPr="00CB1FA9" w:rsidRDefault="00CB1FA9" w:rsidP="00CB1FA9">
      <w:pPr>
        <w:spacing w:after="160" w:line="240" w:lineRule="auto"/>
      </w:pPr>
      <w:r w:rsidRPr="00CB1FA9">
        <w:rPr>
          <w:lang w:val="fr-FR"/>
        </w:rPr>
        <w:t xml:space="preserve">Hemani, G. et al. </w:t>
      </w:r>
      <w:r w:rsidRPr="00CB1FA9">
        <w:t>The MR-Base platform supports systematic causal inference across the human phenome. </w:t>
      </w:r>
      <w:proofErr w:type="spellStart"/>
      <w:r w:rsidRPr="00CB1FA9">
        <w:rPr>
          <w:i/>
          <w:iCs/>
        </w:rPr>
        <w:t>eLife</w:t>
      </w:r>
      <w:proofErr w:type="spellEnd"/>
      <w:r w:rsidRPr="00CB1FA9">
        <w:t> </w:t>
      </w:r>
      <w:r w:rsidRPr="00CB1FA9">
        <w:rPr>
          <w:b/>
          <w:bCs/>
        </w:rPr>
        <w:t>7</w:t>
      </w:r>
      <w:r w:rsidRPr="00CB1FA9">
        <w:t>, e34408 (2018). </w:t>
      </w:r>
      <w:hyperlink r:id="rId11" w:history="1">
        <w:r w:rsidRPr="00CB1FA9">
          <w:rPr>
            <w:rStyle w:val="ae"/>
          </w:rPr>
          <w:t>https://doi.org/10.7554/eLife.34408</w:t>
        </w:r>
      </w:hyperlink>
    </w:p>
    <w:p w14:paraId="2FFB7FD9" w14:textId="77777777" w:rsidR="00CB1FA9" w:rsidRPr="00CB1FA9" w:rsidRDefault="00CB1FA9" w:rsidP="00CB1FA9">
      <w:pPr>
        <w:spacing w:after="160" w:line="240" w:lineRule="auto"/>
        <w:rPr>
          <w:lang w:val="fr-FR"/>
        </w:rPr>
      </w:pPr>
      <w:r w:rsidRPr="00CB1FA9">
        <w:t>Huang, J. et al. Twenty years of genome-wide association studies: health translation challenges and AI opportunities. </w:t>
      </w:r>
      <w:r w:rsidRPr="00CB1FA9">
        <w:rPr>
          <w:i/>
          <w:iCs/>
          <w:lang w:val="fr-FR"/>
        </w:rPr>
        <w:t>Eur. J. Hum. Genet.</w:t>
      </w:r>
      <w:r w:rsidRPr="00CB1FA9">
        <w:rPr>
          <w:lang w:val="fr-FR"/>
        </w:rPr>
        <w:t> (2025). </w:t>
      </w:r>
      <w:hyperlink r:id="rId12" w:history="1">
        <w:r w:rsidRPr="00CB1FA9">
          <w:rPr>
            <w:rStyle w:val="ae"/>
            <w:lang w:val="fr-FR"/>
          </w:rPr>
          <w:t>https://doi.org/10.1038/s41431-025-01951-5</w:t>
        </w:r>
      </w:hyperlink>
    </w:p>
    <w:p w14:paraId="5E64656C" w14:textId="77777777" w:rsidR="00CB1FA9" w:rsidRPr="00CB1FA9" w:rsidRDefault="00CB1FA9" w:rsidP="00CB1FA9">
      <w:pPr>
        <w:spacing w:after="160" w:line="240" w:lineRule="auto"/>
      </w:pPr>
      <w:r w:rsidRPr="00CB1FA9">
        <w:rPr>
          <w:lang w:val="fr-FR"/>
        </w:rPr>
        <w:t xml:space="preserve">Nguyen, D.T. et al. </w:t>
      </w:r>
      <w:r w:rsidRPr="00CB1FA9">
        <w:t>Pharos: Collating protein information to shed light on the druggable genome. </w:t>
      </w:r>
      <w:r w:rsidRPr="00CB1FA9">
        <w:rPr>
          <w:i/>
          <w:iCs/>
        </w:rPr>
        <w:t>Nucleic Acids Res.</w:t>
      </w:r>
      <w:r w:rsidRPr="00CB1FA9">
        <w:t> </w:t>
      </w:r>
      <w:r w:rsidRPr="00CB1FA9">
        <w:rPr>
          <w:b/>
          <w:bCs/>
        </w:rPr>
        <w:t>45</w:t>
      </w:r>
      <w:r w:rsidRPr="00CB1FA9">
        <w:t>, D995–D1002 (2017). </w:t>
      </w:r>
      <w:hyperlink r:id="rId13" w:history="1">
        <w:r w:rsidRPr="00CB1FA9">
          <w:rPr>
            <w:rStyle w:val="ae"/>
          </w:rPr>
          <w:t>https://doi.org/10.1093/nar/gkw1072</w:t>
        </w:r>
      </w:hyperlink>
    </w:p>
    <w:p w14:paraId="4C93C5E9" w14:textId="77777777" w:rsidR="00CB1FA9" w:rsidRPr="00CB1FA9" w:rsidRDefault="00CB1FA9" w:rsidP="00CB1FA9">
      <w:pPr>
        <w:spacing w:after="160" w:line="240" w:lineRule="auto"/>
        <w:rPr>
          <w:lang w:val="fr-FR"/>
        </w:rPr>
      </w:pPr>
      <w:r w:rsidRPr="00CB1FA9">
        <w:t>Subramanian, A. et al. A next generation connectivity map: L1000 platform and the first 1,000,000 profiles. </w:t>
      </w:r>
      <w:r w:rsidRPr="00CB1FA9">
        <w:rPr>
          <w:i/>
          <w:iCs/>
          <w:lang w:val="fr-FR"/>
        </w:rPr>
        <w:t>Cell</w:t>
      </w:r>
      <w:r w:rsidRPr="00CB1FA9">
        <w:rPr>
          <w:lang w:val="fr-FR"/>
        </w:rPr>
        <w:t> </w:t>
      </w:r>
      <w:r w:rsidRPr="00CB1FA9">
        <w:rPr>
          <w:b/>
          <w:bCs/>
          <w:lang w:val="fr-FR"/>
        </w:rPr>
        <w:t>171</w:t>
      </w:r>
      <w:r w:rsidRPr="00CB1FA9">
        <w:rPr>
          <w:lang w:val="fr-FR"/>
        </w:rPr>
        <w:t>, 1437–1452 (2017). </w:t>
      </w:r>
      <w:hyperlink r:id="rId14" w:history="1">
        <w:r w:rsidRPr="00CB1FA9">
          <w:rPr>
            <w:rStyle w:val="ae"/>
            <w:lang w:val="fr-FR"/>
          </w:rPr>
          <w:t>https://doi.org/10.1016/j.cell.2017.10.049</w:t>
        </w:r>
      </w:hyperlink>
    </w:p>
    <w:p w14:paraId="5C1C6824" w14:textId="77777777" w:rsidR="00CB1FA9" w:rsidRPr="00CB1FA9" w:rsidRDefault="00CB1FA9" w:rsidP="00CB1FA9">
      <w:pPr>
        <w:spacing w:after="160" w:line="240" w:lineRule="auto"/>
        <w:rPr>
          <w:lang w:val="de-DE"/>
        </w:rPr>
      </w:pPr>
      <w:r w:rsidRPr="00CB1FA9">
        <w:rPr>
          <w:lang w:val="fr-FR"/>
        </w:rPr>
        <w:t xml:space="preserve">Tan, X. et al. </w:t>
      </w:r>
      <w:r w:rsidRPr="00CB1FA9">
        <w:t>Streamline automated biomedical discoveries with agentic bioinformatics. </w:t>
      </w:r>
      <w:r w:rsidRPr="00CB1FA9">
        <w:rPr>
          <w:i/>
          <w:iCs/>
          <w:lang w:val="de-DE"/>
        </w:rPr>
        <w:t>Brief. Bioinform.</w:t>
      </w:r>
      <w:r w:rsidRPr="00CB1FA9">
        <w:rPr>
          <w:lang w:val="de-DE"/>
        </w:rPr>
        <w:t> </w:t>
      </w:r>
      <w:r w:rsidRPr="00CB1FA9">
        <w:rPr>
          <w:b/>
          <w:bCs/>
          <w:lang w:val="de-DE"/>
        </w:rPr>
        <w:t>26</w:t>
      </w:r>
      <w:r w:rsidRPr="00CB1FA9">
        <w:rPr>
          <w:lang w:val="de-DE"/>
        </w:rPr>
        <w:t>, bbaf505 (2025). </w:t>
      </w:r>
      <w:hyperlink r:id="rId15" w:history="1">
        <w:r w:rsidRPr="00CB1FA9">
          <w:rPr>
            <w:rStyle w:val="ae"/>
            <w:lang w:val="de-DE"/>
          </w:rPr>
          <w:t>https://doi.org/10.1093/bib/bbaf505</w:t>
        </w:r>
      </w:hyperlink>
    </w:p>
    <w:p w14:paraId="14B85F22" w14:textId="5BBBF354" w:rsidR="00DD563F" w:rsidRPr="00DD563F" w:rsidRDefault="00CB1FA9" w:rsidP="00021BFC">
      <w:pPr>
        <w:spacing w:after="160" w:line="240" w:lineRule="auto"/>
        <w:rPr>
          <w:rFonts w:hint="eastAsia"/>
        </w:rPr>
      </w:pPr>
      <w:r w:rsidRPr="00CB1FA9">
        <w:rPr>
          <w:lang w:val="de-DE"/>
        </w:rPr>
        <w:t xml:space="preserve">Wang, G. et al. </w:t>
      </w:r>
      <w:r w:rsidRPr="00CB1FA9">
        <w:t>A simple new approach to variable selection in regression, with application to genetic fine mapping. </w:t>
      </w:r>
      <w:r w:rsidRPr="00CB1FA9">
        <w:rPr>
          <w:i/>
          <w:iCs/>
        </w:rPr>
        <w:t>J. R. Stat. Soc. Series B</w:t>
      </w:r>
      <w:r w:rsidRPr="00CB1FA9">
        <w:t> </w:t>
      </w:r>
      <w:r w:rsidRPr="00CB1FA9">
        <w:rPr>
          <w:b/>
          <w:bCs/>
        </w:rPr>
        <w:t>82</w:t>
      </w:r>
      <w:r w:rsidRPr="00CB1FA9">
        <w:t>, 1273–1300 (2020). </w:t>
      </w:r>
      <w:hyperlink r:id="rId16" w:history="1">
        <w:r w:rsidRPr="00CB1FA9">
          <w:rPr>
            <w:rStyle w:val="ae"/>
          </w:rPr>
          <w:t>https://doi.org/10.1111/rssb.12388</w:t>
        </w:r>
      </w:hyperlink>
    </w:p>
    <w:sectPr w:rsidR="00DD563F" w:rsidRPr="00DD563F" w:rsidSect="00BB18CE">
      <w:footerReference w:type="default" r:id="rId17"/>
      <w:pgSz w:w="11906" w:h="16838"/>
      <w:pgMar w:top="720" w:right="720" w:bottom="720" w:left="720" w:header="851" w:footer="23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29A70" w14:textId="77777777" w:rsidR="00117185" w:rsidRDefault="00117185" w:rsidP="00BB18CE">
      <w:pPr>
        <w:spacing w:line="240" w:lineRule="auto"/>
      </w:pPr>
      <w:r>
        <w:separator/>
      </w:r>
    </w:p>
  </w:endnote>
  <w:endnote w:type="continuationSeparator" w:id="0">
    <w:p w14:paraId="52AF4C00" w14:textId="77777777" w:rsidR="00117185" w:rsidRDefault="00117185" w:rsidP="00BB18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1710451"/>
      <w:docPartObj>
        <w:docPartGallery w:val="Page Numbers (Bottom of Page)"/>
        <w:docPartUnique/>
      </w:docPartObj>
    </w:sdtPr>
    <w:sdtContent>
      <w:p w14:paraId="0696EF69" w14:textId="27DAA0C9" w:rsidR="00BB18CE" w:rsidRDefault="00BB18CE" w:rsidP="00BB18CE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F002B" w14:textId="77777777" w:rsidR="00117185" w:rsidRDefault="00117185" w:rsidP="00BB18CE">
      <w:pPr>
        <w:spacing w:line="240" w:lineRule="auto"/>
      </w:pPr>
      <w:r>
        <w:separator/>
      </w:r>
    </w:p>
  </w:footnote>
  <w:footnote w:type="continuationSeparator" w:id="0">
    <w:p w14:paraId="74544643" w14:textId="77777777" w:rsidR="00117185" w:rsidRDefault="00117185" w:rsidP="00BB18C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A0"/>
    <w:rsid w:val="00021BFC"/>
    <w:rsid w:val="0003000A"/>
    <w:rsid w:val="0005366B"/>
    <w:rsid w:val="000941A8"/>
    <w:rsid w:val="000D036B"/>
    <w:rsid w:val="00117185"/>
    <w:rsid w:val="00134A23"/>
    <w:rsid w:val="00146524"/>
    <w:rsid w:val="00184B18"/>
    <w:rsid w:val="002A11A0"/>
    <w:rsid w:val="002B274C"/>
    <w:rsid w:val="00331176"/>
    <w:rsid w:val="00366E76"/>
    <w:rsid w:val="00451605"/>
    <w:rsid w:val="004B13CB"/>
    <w:rsid w:val="00523502"/>
    <w:rsid w:val="005E6D60"/>
    <w:rsid w:val="005F5A63"/>
    <w:rsid w:val="00615058"/>
    <w:rsid w:val="0063128A"/>
    <w:rsid w:val="006927AB"/>
    <w:rsid w:val="006C7899"/>
    <w:rsid w:val="00751BD0"/>
    <w:rsid w:val="007A2B28"/>
    <w:rsid w:val="00890325"/>
    <w:rsid w:val="008E70EF"/>
    <w:rsid w:val="00901116"/>
    <w:rsid w:val="00950FC2"/>
    <w:rsid w:val="009B4C3D"/>
    <w:rsid w:val="009B588A"/>
    <w:rsid w:val="00B40D7D"/>
    <w:rsid w:val="00BB18CE"/>
    <w:rsid w:val="00BB1FAA"/>
    <w:rsid w:val="00BF4ADB"/>
    <w:rsid w:val="00C02001"/>
    <w:rsid w:val="00C372B9"/>
    <w:rsid w:val="00C840CD"/>
    <w:rsid w:val="00CA6CB9"/>
    <w:rsid w:val="00CB1FA9"/>
    <w:rsid w:val="00CD220B"/>
    <w:rsid w:val="00D14CB2"/>
    <w:rsid w:val="00DA6098"/>
    <w:rsid w:val="00DD563F"/>
    <w:rsid w:val="00E90BA3"/>
    <w:rsid w:val="00E9353E"/>
    <w:rsid w:val="00F21F41"/>
    <w:rsid w:val="00FC5FC8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2B2A2"/>
  <w15:chartTrackingRefBased/>
  <w15:docId w15:val="{9B21002F-9FAA-4CA2-852F-0E2EEF88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001"/>
    <w:pPr>
      <w:widowControl w:val="0"/>
      <w:spacing w:after="0" w:line="276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0BA3"/>
    <w:pPr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E90BA3"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1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11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1A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1A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1A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1A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0BA3"/>
    <w:rPr>
      <w:b/>
      <w:bCs/>
    </w:rPr>
  </w:style>
  <w:style w:type="character" w:customStyle="1" w:styleId="20">
    <w:name w:val="標題 2 字元"/>
    <w:basedOn w:val="a0"/>
    <w:link w:val="2"/>
    <w:uiPriority w:val="9"/>
    <w:rsid w:val="00E90BA3"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sid w:val="002A11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1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11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11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11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11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11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1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1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1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11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1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11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11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11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1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11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1A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90BA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90BA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BB18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BB18CE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BB18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BB18CE"/>
    <w:rPr>
      <w:sz w:val="20"/>
      <w:szCs w:val="20"/>
    </w:rPr>
  </w:style>
  <w:style w:type="character" w:styleId="af4">
    <w:name w:val="FollowedHyperlink"/>
    <w:basedOn w:val="a0"/>
    <w:uiPriority w:val="99"/>
    <w:semiHidden/>
    <w:unhideWhenUsed/>
    <w:rsid w:val="000D036B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DD5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467-018-03621-1" TargetMode="External"/><Relationship Id="rId13" Type="http://schemas.openxmlformats.org/officeDocument/2006/relationships/hyperlink" Target="https://doi.org/10.1093/nar/gkw107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i.org/10.1038/s41431-025-01951-5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i.org/10.1111/rssb.12388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oi.org/10.7554/eLife.3440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93/bib/bbaf505" TargetMode="External"/><Relationship Id="rId10" Type="http://schemas.openxmlformats.org/officeDocument/2006/relationships/hyperlink" Target="https://doi.org/10.1038/s41588-019-0538-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3/bioinformatics/btac791" TargetMode="External"/><Relationship Id="rId14" Type="http://schemas.openxmlformats.org/officeDocument/2006/relationships/hyperlink" Target="https://doi.org/10.1016/j.cell.2017.10.049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6ACA5-60EA-4F96-8592-DEAD13E11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5</Pages>
  <Words>2173</Words>
  <Characters>12387</Characters>
  <Application>Microsoft Office Word</Application>
  <DocSecurity>0</DocSecurity>
  <Lines>103</Lines>
  <Paragraphs>29</Paragraphs>
  <ScaleCrop>false</ScaleCrop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Wei-Zhi Lin</dc:creator>
  <cp:keywords/>
  <dc:description/>
  <cp:lastModifiedBy>Wei-Zhi Lin</cp:lastModifiedBy>
  <cp:revision>19</cp:revision>
  <dcterms:created xsi:type="dcterms:W3CDTF">2026-05-21T15:59:00Z</dcterms:created>
  <dcterms:modified xsi:type="dcterms:W3CDTF">2026-05-22T03:14:00Z</dcterms:modified>
</cp:coreProperties>
</file>