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261023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前期实验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基线方法测评</w:t>
        </w:r>
      </w:hyperlink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在3090服务器上，使用Qwen3-4B、VLLM框架、Humaneval、math500、Longbench数据集进行测评。实验结果显示：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FP8的TPOT相比FP16平均降低约9.5%，端到端延迟降低约25%，输出吞吐提升约29%，整体性能最好；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TurboQuant随着量化精度进一步降低，decode开销反而明显增加，其中TQ4、TQ34和TQ3的TPOT相比FP16分别上升约57%、74%和83%，输出吞吐下降约18%～32%，说明低bit KV带来的反量化和kernel开销抵消了部分显存带宽收益。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KVarN系列的TPOT相比FP16平均增加约32%～37%，吞吐下降约8%～13%，但相比TQ34/TQ3，其TPOT仍低约21%～28%，表现出更好的容量与decode效率折中。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各阶段性能分析</w:t>
        </w:r>
      </w:hyperlink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 RTX 3090、Qwen3-4B、并发 8、固定生成 1024 token 的 eager + profiler 实验中，四种方法完成了相同的 672 条样本、89 批首轮测试。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FP16、KVarN、TurboQuant 和 FP8 的累计 GPU 时间分别为 2379.36、2349.90、2989.43 和 1887.66 秒，相对 FP16 分别变化 −1.24%、+25.64% 和 −20.67%。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算子拆解显示，TurboQuant 的 decode 读侧/attention 从 FP16 的 630.61 秒增加到 1384.99 秒，是其额外成本的主要线索；KVarN 的 decode 读侧与写侧分别增加 67.48 和 42.12 秒，但被部分 GEMM 时间下降抵消，因此总体接近 FP16。FP8 在八项任务上的累计 GPU 时间均下降，但它同时使用了不同的 FLASHINFER 后端，尚不能将收益全部归因于 KV 精度。上述时间均由 PyTorch Profiler 采集 GPU 事件并按调度阶段、算子族累计，包含多层、多步及可能融合的计算，不能直接解释为生产吞吐提升。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kvarn：Decode 读侧 698.09 s（相对 FP16 +10.70%，占自身总量 29.71%）；写侧 52.65 s（+399.85%）。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turboquant：Decode 读侧 1384.99 s（相对 FP16 +119.63%，占自身总量 46.33%）；写侧 26.30 s（+149.72%）。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fp8：Decode 读侧 312.15 s（相对 FP16 -50.50%，占自身总量 16.54%）；写侧 34.21 s（+224.79%）。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动机/研究意义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Anchor+residual 本身是 KV 稀疏 / 分层存储策略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在保持 KV 缓存存储预算不变、不引入额外数值压缩的前提下，降低解码阶段 KV 的 HBM 读取流量，从而降低推理延迟、提升推理吞吐量。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KV cache 量化可以减少显存占用，却不保证实际推理更快。压缩后仍需读取量化码、恢复数值并执行 attention；解包、元数据和额外中间读写可能抵消带宽收益。Hugging Face 官方文档明确指出，短上下文且显存充足时，缓存量化可能增加延迟。因此，除了压缩率和正确率，还需要直接优化已量化缓存的读取与执行成本。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KV 在写入时尚不知道未来 query 的需求，而同一份缓存会被后续解码反复访问。固定 8/4 位存储为所有后续 query 保留了信息，但每一步未必都需要取回每个条目的全部细节。ReadKV 与 Fathom 已经验证了将存储预算和 query 读取预算分开研究的价值；同时，它们的结果也显示，逻辑上少读还需要经过物理布局和算子实现，才能成为实际时延收益。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我们据此将优化对象设为固定量化表示上的按需读取：完整保存已有 8/4 位记录，将基础信息与补充细节分别打包，让当前 query 只为需要的部分支付 residual 读取成本。重点研究可独立寻址的布局、与 attention 融合的低成本控制器，以及质量约束下的端到端性能。目标是在已有量化基础上改善执行效率，贡献需要由真实物理流量和服务性能共同证明。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这里需要保留一个限定：不能将“量化普遍导致推理变慢”作为研究前提。vLLM 的官方 FP8 优化已经展示了部分配置中的时延和吞吐改善，因此更有说服力的问题是：如何让目标配置中已经压缩的 KV，在实际执行时进一步减少不必要的读取，并控制新增开销。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方案（按步骤划分）</w:t>
      </w:r>
      <w:bookmarkEnd w:id="2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整体实现链路为: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其中，物理布局和码字打包是基础，</w:t>
      </w:r>
      <w:r>
        <w:rPr>
          <w:rFonts w:eastAsia="等线" w:ascii="Arial" w:cs="Arial" w:hAnsi="Arial"/>
          <w:sz w:val="22"/>
          <w:shd w:fill="fff67a"/>
        </w:rPr>
        <w:t>精度选择 Controller 和 GPU Kernel 执行优化是后续最主要的创新位置。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2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码字编码与打包（Codec / Packer）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阶段目标：</w:t>
      </w:r>
      <w:r>
        <w:rPr>
          <w:rFonts w:eastAsia="等线" w:ascii="Arial" w:cs="Arial" w:hAnsi="Arial"/>
          <w:sz w:val="22"/>
        </w:rPr>
        <w:t xml:space="preserve"> 不改变原有 KVarN INT4 量化算法，将量化后的整数码字转换成支持渐进式读取的表示。完整 4-bit 读取逐码字无损，2/3-bit 读取具有可测量的误差行为。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量化码字拆分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不同读取深度的数值重建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可研究的改进：优化低精度重建值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参考方法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直接按照位数拆分（fathom）、二叉量化编码树（ReadKV）、非线性编码（Lynx）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预期方案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这个拆分也有待考量  渐进式还是直接一分为二  需要通过实验去测一下  包括只面向4bit量化还是做到适配8bit、4bit、3bit等等均能使用。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缓存物理布局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阶段目标：</w:t>
      </w:r>
      <w:r>
        <w:rPr>
          <w:rFonts w:eastAsia="等线" w:ascii="Arial" w:cs="Arial" w:hAnsi="Arial"/>
          <w:sz w:val="22"/>
        </w:rPr>
        <w:t xml:space="preserve"> 确保 GPU 只加载 Anchor 时，不会因为物理布局而被迫读取 Residual。保证低位 Plane 可以真正独立访问，并且能够通过 GPU Profiling 验证物理访存减少。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Logical Tile → Physical Plane Group → Sector Alignment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三个基本概念：Logical Tile、Physical Plane Group、Sector Alignment。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 Tile 决定精度选择粒度；物理 Plane Group 决定数据如何连续打包；Sector Alignment 决定访问高位是否会牵连低位。三者不必具有相同的大小。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KV Cache 的“选择多少精度”和“实际从显存读取多少数据”并不是同一个问题。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43325" cy="2667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Plane Group 划分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将每个 Tile 的数据分别打包到连续区域，K 与 V 的排列方向需要分别适配原有量化格式。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Sector Alignment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不仅要把 High2、Bit1、Bit0 分开放置，还需要确保不同 Plane 的访问边界不会无意共享同一物理 Sector。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同时考虑：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32-byte Sector 对齐。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Plane 内数据连续性。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Tile 边界对齐。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Padding 带来的额外存储开销。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Attention Chunk 与存储 Tile 粒度不一致的问题。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  <w:shd w:fill="fff67a"/>
        </w:rPr>
        <w:t>预期方案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 NVIDIA CUDA 的内存访问规则，现代 GPU 会将同一 Warp 的访存请求合并成相应的内存事务；即使只使用某个 32-byte 区段的一部分，仍可能需要取得整个区段。GPU 全局内存的收费单位是 sector（A10G 为 32B），不是 bit。只要 sector 被碰，整块都要读；bit-plane 量化的成败，很大程度是内存布局能不能把不同 bit-plane 分到不同 sector。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 Bit-Plane 的数学拆分，不足以证明 HBM 读取流量降低。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要把 Anchor 和 Residual 放在不会无谓互相牵连的物理区域。【分离bit plane】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 Sub-Tile 中需要一起读取的数据应尽可能连续。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还要检查 Triton 的线程与地址映射，确保产生合并访存。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KV Cache Writer / Reader 与 Attention Backend 接入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阶段目标：</w:t>
      </w:r>
      <w:r>
        <w:rPr>
          <w:rFonts w:eastAsia="等线" w:ascii="Arial" w:cs="Arial" w:hAnsi="Arial"/>
          <w:sz w:val="22"/>
        </w:rPr>
        <w:t xml:space="preserve"> 将新的打包格式真正接入在线推理路径，而不是只在独立实验中完成编码和解码。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Writer：量化后的打包与写入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优化目标：</w:t>
      </w:r>
      <w:r>
        <w:rPr>
          <w:rFonts w:eastAsia="等线" w:ascii="Arial" w:cs="Arial" w:hAnsi="Arial"/>
          <w:sz w:val="22"/>
        </w:rPr>
        <w:t>融合为尽量少的 GPU Kernel 或设备侧处理步骤。减少中间张量、额外 Copy 和重复读写，特别是完整 Tile 从暂存区转换为量化缓存时的额外搬运。但这属于写入性能优化，建议先作为系统消融，不必与 Controller 同时开发。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在量化方法的基础上：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将原 INT4 nibble packing 替换为 Plane Packing。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同步写入 Anchor、Residual、Scale。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处理未满量化 Tile 的尾部缓存。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保留完整 INT4 重建所需的全部信息。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Reader：不同精度的码字恢复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优化目标：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假设原始 FP16 的某个 KV 值是：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x=0.83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经过 INT4 量化后，得到码字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，再通过量化器恢复为：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66875" cy="381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如果我们把 INT4 拆成 Anchor + Residual，只读取高位，可能得到：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885825" cy="400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于是存在两类不同的误差：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114425" cy="1543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最终我们真正关心的是：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85925" cy="561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但是还需要注意，前两种误差不能简单相加成等式，因为它们可能相互抵消，也可能同方向叠加。</w:t>
      </w:r>
    </w:p>
    <w:p>
      <w:pPr>
        <w:spacing w:before="120" w:after="120" w:line="288" w:lineRule="auto"/>
        <w:ind w:left="453"/>
      </w:pPr>
      <w:r>
        <w:object>
          <v:shape id="_x0000_i1026" style="width:414pt;height:99pt;mso-width-percent:0;mso-height-percent:0;mso-width-percent:0;mso-height-percent:0" type="#_x0000_t75" o:ole="">
            <v:imagedata r:id="rId16" o:title=""/>
          </v:shape>
          <o:OLEObject DrawAspect="Icon" ObjectID="_1718471220" ProgID="Excel.Sheet.12" ShapeID="_x0000_i1026" Type="Embed" r:id="rId15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因此，Reader 并不只是实现一个 </w:t>
      </w:r>
      <w:r>
        <w:rPr>
          <w:rFonts w:eastAsia="Consolas" w:ascii="Consolas" w:cs="Consolas" w:hAnsi="Consolas"/>
          <w:sz w:val="22"/>
          <w:shd w:fill="EFF0F1"/>
        </w:rPr>
        <w:t>unpack()</w:t>
      </w:r>
      <w:r>
        <w:rPr>
          <w:rFonts w:eastAsia="等线" w:ascii="Arial" w:cs="Arial" w:hAnsi="Arial"/>
          <w:sz w:val="22"/>
        </w:rPr>
        <w:t xml:space="preserve"> 函数，它还必须知道：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当前读取了多少位。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这些位对应哪个量化区间或码本节点。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应该使用哪个重建值。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如何结合 Scale、Zero Point 或其他参数恢复浮点数。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ReadKV，量化器设计和 Reader 是联合设计的：编码器决定样本走哪条量化树路径，Reader 根据已读取的路径前缀得到相应节点的重建值。</w:t>
      </w:r>
    </w:p>
    <w:p>
      <w:pPr>
        <w:spacing w:before="120" w:after="120" w:line="288" w:lineRule="auto"/>
        <w:ind w:left="0"/>
      </w:pPr>
      <w:r>
        <w:object>
          <v:shape id="_x0000_i1027" style="width:414pt;height:136pt;mso-width-percent:0;mso-height-percent:0;mso-width-percent:0;mso-height-percent:0" type="#_x0000_t75" o:ole="">
            <v:imagedata r:id="rId18" o:title=""/>
          </v:shape>
          <o:OLEObject DrawAspect="Icon" ObjectID="_1718471221" ProgID="Excel.Sheet.12" ShapeID="_x0000_i1027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  <w:shd w:fill="fff67a"/>
        </w:rPr>
        <w:t>预期方案</w:t>
      </w:r>
      <w:bookmarkEnd w:id="1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方案A：保留原生量化器（KVarN/TurboQuant等）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FP16 KV</w:t>
              <w:br/>
              <w:t xml:space="preserve">   ↓</w:t>
              <w:br/>
              <w:t>KVarN INT4 量化</w:t>
              <w:br/>
              <w:t xml:space="preserve">   ↓</w:t>
              <w:br/>
              <w:t>原始 INT4 码字</w:t>
              <w:br/>
              <w:t xml:space="preserve">   ↓</w:t>
              <w:br/>
              <w:t>拆分 High2 | Bit1 | Bit0</w:t>
              <w:br/>
              <w:t xml:space="preserve">   ↓</w:t>
              <w:br/>
              <w:t>2/3-bit：优化部分码字的重建值</w:t>
              <w:br/>
            </w:r>
            <w:r>
              <w:rPr>
                <w:rFonts w:eastAsia="Consolas" w:ascii="Consolas" w:cs="Consolas" w:hAnsi="Consolas"/>
                <w:sz w:val="22"/>
              </w:rPr>
              <w:t>4-bit：恢复原生 INT4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可以借鉴 ReadKV 的条件均值重建思想，但不需要使用它的整个 Gaussian Lloyd 量化器。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方案B：重新设计渐进量化器。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FP16 KV</w:t>
              <w:br/>
              <w:t xml:space="preserve">   ↓</w:t>
              <w:br/>
              <w:t>新的渐进式量化映射</w:t>
              <w:br/>
              <w:t xml:space="preserve">   ↓</w:t>
              <w:br/>
              <w:t>具有嵌套重建值的 4-bit 编码</w:t>
              <w:br/>
              <w:t xml:space="preserve">   ↓</w:t>
              <w:br/>
            </w:r>
            <w:r>
              <w:rPr>
                <w:rFonts w:eastAsia="Consolas" w:ascii="Consolas" w:cs="Consolas" w:hAnsi="Consolas"/>
                <w:sz w:val="22"/>
              </w:rPr>
              <w:t>2/3/4-bit 渐进读取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这种就更接近 ReadKV、Lynx 的设计思路，需要</w:t>
      </w:r>
      <w:r>
        <w:rPr>
          <w:rFonts w:eastAsia="等线" w:ascii="Arial" w:cs="Arial" w:hAnsi="Arial"/>
          <w:b w:val="true"/>
          <w:sz w:val="22"/>
        </w:rPr>
        <w:t>同时优化编码、重建值和完整精度的量化效果</w:t>
      </w:r>
      <w:r>
        <w:rPr>
          <w:rFonts w:eastAsia="等线" w:ascii="Arial" w:cs="Arial" w:hAnsi="Arial"/>
          <w:sz w:val="22"/>
        </w:rPr>
        <w:t>，改动更大。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Attention Backend 接入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主要承担以下工作：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 KV Cache 地址和 Block Table。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 Plane Offset 与布局参数。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调用修改后的 Writer 和 Reader。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 GPU Kernel 提供所需的 Metadata。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维持 CUDA Graph、GQA、Paged KV Cache 等机制。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其他读取路径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完整反量化、Materialize、Verify 等入口兼容新布局。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  <w:shd w:fill="fff67a"/>
        </w:rPr>
        <w:t>GPU Attention Kernel 与动态精度 Controller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优化目标： </w:t>
      </w:r>
      <w:r>
        <w:rPr>
          <w:rFonts w:eastAsia="等线" w:ascii="Arial" w:cs="Arial" w:hAnsi="Arial"/>
          <w:sz w:val="22"/>
        </w:rPr>
        <w:t>在 GPU 内根据当前 Query 和 KV Chunk 的特征决定读取精度，并直接完成 QK、Softmax 和 AV。从而达到读得少、算得快、精度尽量不下降的问题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K 精度选择 Controller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需要新增或优化的逻辑：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 Query。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K Scale 或轻量 Block Metadata。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估计 K2/K3 对 Attention Scores 的误差风险。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K2、K3 或 K4。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只读取对应 Plane。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执行最终 QK 计算。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参考方法</w:t>
      </w:r>
      <w:bookmarkEnd w:id="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ReadKV：根据 Query 与通道 Scale 分配读取位数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ReadKV 对 K 采用按通道选择精度，而不是按整个 Token Chunk 选择精度。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具体过程：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使用固定的 Hadamard-Sign 变换处理 K 和 Query，将 K 编码为 Gaussian Lloyd 二叉量化树路径。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Query 到来时，利用 Query 在每个通道上的大小，以及该通道的校准标准差，计算重要性。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根据重要性和每增加一位能够降低多少失真，分配各通道应读取的位数。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读取选中位平面的前缀，恢复 K，再计算 Attention Scores。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对于共享一个 KV Head 的多个 Query Heads，通道重要性为：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57425" cy="819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是变换后的 Query，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是校准尺度。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直观理解：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一个通道的 Query 分量越大，并且该通道的 K 数值变化越明显，该通道量化误差就越可能影响 QK 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ReadKV 使用校准失真曲线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D(t)</m:t>
          </m:r>
        </m:oMath>
      </m:oMathPara>
      <w:r>
        <w:rPr>
          <w:rFonts w:eastAsia="等线" w:ascii="Arial" w:cs="Arial" w:hAnsi="Arial"/>
          <w:sz w:val="22"/>
        </w:rPr>
        <w:t>，计算增加一位的收益：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00300" cy="457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不断把下一位分配给收益最大的通道，直到使用完指定读取预算。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</w:t>
      </w:r>
      <w:r>
        <w:rPr>
          <w:rFonts w:eastAsia="等线" w:ascii="Arial" w:cs="Arial" w:hAnsi="Arial"/>
          <w:b w:val="true"/>
          <w:sz w:val="22"/>
        </w:rPr>
        <w:t>ReadKV 不需要先执行低精度 QK，再通过重复 QK 判断是否增加精度。K 的读取深度可以在第一次读取 K 之前确定。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Fathom:Reverse Water-Filling 分配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Fathom 先采用均匀 4-bit 量化，把 K 分别存储为四个位平面。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Query 到来后，计算通道重要性：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00250" cy="571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K 的方差在校准阶段获得。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然后假设读取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位的量化误差方差近似按照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−t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下降，优化：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09800" cy="581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Reverse Water-Filling，为重要通道分配更多位数。这样，读取计划在扫描历史 K 之前就已经确定，不需要通过低精度 QK 反复验证每个通道。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  <w:shd w:fill="fff67a"/>
        </w:rPr>
        <w:t>预期方案</w:t>
      </w:r>
      <w:bookmarkEnd w:id="2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+ K Scale 敏感度估计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先不增加 Metadata。利用 KVarN 原有的 Scale 和当前 Query，计算低精度 K 对 Scores 可能带来的最大误差。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更加复杂一些的方案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需要验证的是它是否比单纯 </w:t>
      </w:r>
      <w:r>
        <w:rPr>
          <w:rFonts w:eastAsia="Consolas" w:ascii="Consolas" w:cs="Consolas" w:hAnsi="Consolas"/>
          <w:sz w:val="22"/>
          <w:shd w:fill="EFF0F1"/>
        </w:rPr>
        <w:t>Query × Scale</w:t>
      </w:r>
      <w:r>
        <w:rPr>
          <w:rFonts w:eastAsia="等线" w:ascii="Arial" w:cs="Arial" w:hAnsi="Arial"/>
          <w:sz w:val="22"/>
        </w:rPr>
        <w:t xml:space="preserve"> 更准确，并且元数据成本没有抵消访存收益。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V 精度选择 Controller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和 V 不应完全使用同一套决策指标。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Controller 可以在 K Scores 已经产生之后，根据当前 Chunk 的 Attention Mass 和 V 的重建误差估计，选择 V2、V3 或 V4。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主要修改：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Online Softmax 获取当前 Chunk 的重要性信息。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 V Scale 估计低精度读取带来的输出误差。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根据阈值选择 V Residual 读取深度。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只加载所需的 V Plane 并执行 AV 累加。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Controller 可以先于新的 K Controller 单独验证，因为固定 K4 时不需要重新计算粗精度 QK。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参考方法</w:t>
      </w:r>
      <w:bookmarkEnd w:id="2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ReadKV：根据 Attention 权重分配读取位数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重建完成并计算 Softmax 后，ReadKV 才进行 V 精度分配。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它采用按 Token 选择精度。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对于共享 KV Head 的多个 Query Heads，Value Token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的重要性为：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14500" cy="571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h,j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：根据已重建 K 计算出的 Attention 权重。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：Value 误差尺度权重，论文主要实验使用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然后同样计算每增加一位的失真收益，并在 V 的固定读取预算内分配。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Fathom:无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Fathom 主要解决的是 CPU 内存中历史 K 的 Top-K 稀疏检索。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  <w:shd w:fill="fff67a"/>
        </w:rPr>
        <w:t>预期方案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可以迁移一下非量化方向的KVCache压缩方法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Attention Mass × 实际残差风险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需要注意的点：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FlashAttention 类型的在线 Softmax 是按 Tile 累积计算的。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处理当前 Tile 时，只知道已经处理部分的归一化信息，不一定知道所有 Token 的最终 Attention 权重。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所以不能直接假设 V Controller 可以免费获得全局精确的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可选择：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单遍近似方案（推荐）：使用当前 online softmax 的部分归一化质量，做保守的局部选择。它可能高估早期 Tile 的重要性。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4.3 Attention Kernel 融合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将以下操作尽量融合到已有 Triton Decode Kernel，不只是降低逻辑读取位数，而是降低实际 Kernel Latency 和 TPOT：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GPU Fused Attention Kernel</w:t>
              <w:br/>
              <w:t>│</w:t>
              <w:br/>
              <w:t>├── K Controller： 根据 Query 与辅助信息选择 K2/K3/K4。</w:t>
              <w:br/>
              <w:t>├── K Fused Reading： 在 GPU Kernel 内按需加载 Plane，直接完成重建和 QK，避免重复点积。</w:t>
              <w:br/>
              <w:t>├── K Dequantization</w:t>
              <w:br/>
              <w:t>├── QK Dot</w:t>
              <w:br/>
              <w:t>├── V Controller： 根据 Attention Scores 和误差风险选择 V2/V3/V4。</w:t>
              <w:br/>
              <w:t>├── V Fused Reading： 按需读取 V plane。</w:t>
              <w:br/>
              <w:t>├── V Dequantization</w:t>
              <w:br/>
              <w:t>└── Online Softmax + AV</w:t>
              <w:br/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GPU 执行优化： 优化 tl.load、访存合并、分支、寄存器使用及 Single/Split Decode。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residual误差与辅助MetaData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优化目标： </w:t>
      </w:r>
      <w:r>
        <w:rPr>
          <w:rFonts w:eastAsia="等线" w:ascii="Arial" w:cs="Arial" w:hAnsi="Arial"/>
          <w:sz w:val="22"/>
        </w:rPr>
        <w:t>不读取完整 Residual，也能低成本判断某个 Chunk 是否需要补读。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这一部分可以作为controller辅助，区别于VLLM原有的调度MetaData（例如 Block Table、序列长度、Slot Mapping，用于知道缓存在哪里、哪些 Token 有效。）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Metadata 是在 KV Cache 写入阶段生成的辅助统计信息，与物理 KV Block 绑定存储，在 Decode 时帮助 Controller 选择读取精度，并随着 Block 的复用、覆盖和回收保持数据一致性。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 KVarN 已有部分可使用的 Scale、Zero Point 信息。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可以先研究这些信息是否足以估计：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K2/K3 的最大 Logit 误差。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V2/V3 的最大 Value 重建误差。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 Query 对量化误差的敏感程度。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如果效果不理想，再引入少量按物理 Block / KV Head 存储的 Residual Metadata，并复用已有 Block Table 和缓存管理机制。【根据实际实验效果再调整】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这样 Metadata 就不是一个必须提前实现的大工程，而是后续用于改进 Controller 判断质量的可选优化模块。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工程优化：Reader算子与Attention kernel重叠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Reader 实际上有两种实现形式：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A：独立 Reader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KV Cache</w:t>
              <w:br/>
              <w:t xml:space="preserve">    ↓</w:t>
              <w:br/>
              <w:t>独立 Reader Kernel</w:t>
              <w:br/>
              <w:t xml:space="preserve">    ↓</w:t>
              <w:br/>
              <w:t>解量化成 FP16 K/V</w:t>
              <w:br/>
              <w:t xml:space="preserve">    ↓</w:t>
              <w:br/>
              <w:t>写入临时显存 Buffer</w:t>
              <w:br/>
              <w:t xml:space="preserve">    ↓</w:t>
              <w:br/>
              <w:t>Attention Kernel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QK / Softmax / AV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优点是容易实现、方便验证。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缺点是需要将解量化后的 K/V 写入临时 Buffer，再由 Attention Kernel 读取。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这样即使 Reader 少读取了原始量化码字，也可能因为额外的 FP16 数据搬运而失去收益。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B：Fused Reader + Attention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KV Cache</w:t>
              <w:br/>
              <w:t xml:space="preserve">    ↓</w:t>
              <w:br/>
              <w:t>Fused Attention Kernel</w:t>
              <w:br/>
              <w:t xml:space="preserve">    ├── 选择读取精度</w:t>
              <w:br/>
              <w:t xml:space="preserve">    ├── 直接加载相应 Plane</w:t>
              <w:br/>
              <w:t xml:space="preserve">    ├── 在 GPU 内重建 KV</w:t>
              <w:br/>
              <w:t xml:space="preserve">    ├── QK</w:t>
              <w:br/>
              <w:t xml:space="preserve">    ├── Online Softmax</w:t>
              <w:br/>
              <w:t xml:space="preserve">    └── AV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Attention Output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这才是目前方案的目标。它并不需要先执行一个完整的 Reader Kernel，再执行 Attention Kernel。Reader 的加载与重建逻辑，直接成为 Fused Attention Kernel 内的一部分。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前面的Backend 接入可以理解为把新的 KV Cache 表示方式接进现有推理系统，把 Attention Kernel 优化理解为充分利用这种表示方式设计真正高效的 Attention 执行算法。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对最终论文而言，Backend 修改是保证方案能够落地的必要工程；GPU Kernel 内的低开销精度选择、按需读取以及计算融合，是更值得重点研究的创新部分。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实验路线与阶段性验收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现阶段应该先证明 Controller 能在准确率基本不下降的情况下，显著减少 Residual 读取，再投入精力改 Writer、Reader 和物理布局。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先固定一种最简单的 4-bit 编码验证 Controller，然后比较编码方式，最后进行完整的 GPU 工程优化。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算法与系统协同设计（Algorithm–System Co-design）：</w:t>
      </w:r>
    </w:p>
    <w:p>
      <w:pPr>
        <w:spacing w:before="120" w:after="120" w:line="288" w:lineRule="auto"/>
        <w:ind w:left="0"/>
      </w:pPr>
      <w:r>
        <w:object>
          <v:shape id="_x0000_i1028" style="width:414pt;height:126pt;mso-width-percent:0;mso-height-percent:0;mso-width-percent:0;mso-height-percent:0" type="#_x0000_t75" o:ole="">
            <v:imagedata r:id="rId25" o:title=""/>
          </v:shape>
          <o:OLEObject DrawAspect="Icon" ObjectID="_1718471222" ProgID="Excel.Sheet.12" ShapeID="_x0000_i1028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Progressive Anchor–Residual Representation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Pre-Dot Query-Aware K Controller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Attention- and Residual-Aware V Controller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Joint K/V Residual Read Allocation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Physical Layout and Fused GPU Execution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编码方式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我特别推荐在 A 里面增加一个小实验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即使固定 2+2，也可以比较两种 Anchor 重建方式：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Zero-fill： 缺失的低 2 位补零。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Midpoint： 用该高位编码区间的中心值重建。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这个实验很便宜，却可能明显改变 Controller 所需的残差比例。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 KVarN 是带 Scale/Zero Point 的非对称 RTN，还存在双向归一化，因此重建应在一致的量化坐标系中进行。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K/V 联合动态预算（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由于 V 的重要性依赖已经选定的 K，运行时更适合采用分阶段的共享预算启发式分配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同一个 Query 的额外读取预算，究竟应该花在 K 上，还是 V 上？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如果所有 Query 都固定分配一半预算给 K、一半给 V，就可能在某些场景浪费带宽。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而 ReadKV 本身明确指出，受限 GPU Reader 的 K/V 固定分配会造成明显的低读取率质量损失，并把 K/V 预算划分识别为值得继续改进的问题。这提供了一个很清晰的研究切入点。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参考方法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[1] HAN W, YEUNG G M, BARLETTA M, et al. Lynx: Progressive Speculative Quantization for accelerating KV Transfer in Long-Context Inference[EB/OL]. (2026-07-02)[2026-10-22]. </w:t>
      </w:r>
      <w:hyperlink r:id="rId30">
        <w:r>
          <w:rPr>
            <w:rFonts w:eastAsia="等线" w:ascii="Arial" w:cs="Arial" w:hAnsi="Arial"/>
            <w:color w:val="3370ff"/>
            <w:sz w:val="22"/>
          </w:rPr>
          <w:t>https://arxiv.org/abs/2607.01831</w:t>
        </w:r>
      </w:hyperlink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[2] KALYANARANGAN V. Fathom: Per-Query Read Depth for Sparse Decoding over Offloaded KV Caches[EB/OL]. (2026-09-15)[2026-10-22]. </w:t>
      </w:r>
      <w:hyperlink r:id="rId31">
        <w:r>
          <w:rPr>
            <w:rFonts w:eastAsia="等线" w:ascii="Arial" w:cs="Arial" w:hAnsi="Arial"/>
            <w:color w:val="3370ff"/>
            <w:sz w:val="22"/>
          </w:rPr>
          <w:t>https://arxiv.org/abs/2609.17652</w:t>
        </w:r>
      </w:hyperlink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[3] BHANDARI S, GRETTA L, BALASUBRAMANIAN K, et al. Read What Matters: Query-Adaptive Quantization for KV Caches[EB/OL]. (2026-10-08)[2026-10-22]. </w:t>
      </w:r>
      <w:hyperlink r:id="rId32">
        <w:r>
          <w:rPr>
            <w:rFonts w:eastAsia="等线" w:ascii="Arial" w:cs="Arial" w:hAnsi="Arial"/>
            <w:color w:val="3370ff"/>
            <w:sz w:val="22"/>
          </w:rPr>
          <w:t>https://arxiv.org/abs/2610.11245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Fathom 的实际实验路径通过替换hugging face Qwen3 的Attention forward实现。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1030">
    <w:lvl>
      <w:start w:val="1"/>
      <w:numFmt w:val="decimal"/>
      <w:suff w:val="tab"/>
      <w:lvlText w:val="%1."/>
      <w:rPr>
        <w:color w:val="3370ff"/>
      </w:rPr>
    </w:lvl>
  </w:abstractNum>
  <w:abstractNum w:abstractNumId="221031">
    <w:lvl>
      <w:numFmt w:val="bullet"/>
      <w:suff w:val="tab"/>
      <w:lvlText w:val="•"/>
      <w:rPr>
        <w:color w:val="3370ff"/>
      </w:rPr>
    </w:lvl>
  </w:abstractNum>
  <w:abstractNum w:abstractNumId="221032">
    <w:lvl>
      <w:numFmt w:val="bullet"/>
      <w:suff w:val="tab"/>
      <w:lvlText w:val="•"/>
      <w:rPr>
        <w:color w:val="3370ff"/>
      </w:rPr>
    </w:lvl>
  </w:abstractNum>
  <w:abstractNum w:abstractNumId="221033">
    <w:lvl>
      <w:numFmt w:val="bullet"/>
      <w:suff w:val="tab"/>
      <w:lvlText w:val="•"/>
      <w:rPr>
        <w:color w:val="3370ff"/>
      </w:rPr>
    </w:lvl>
  </w:abstractNum>
  <w:abstractNum w:abstractNumId="221034">
    <w:lvl>
      <w:start w:val="2"/>
      <w:numFmt w:val="decimal"/>
      <w:suff w:val="tab"/>
      <w:lvlText w:val="%1."/>
      <w:rPr>
        <w:color w:val="3370ff"/>
      </w:rPr>
    </w:lvl>
  </w:abstractNum>
  <w:abstractNum w:abstractNumId="221035">
    <w:lvl>
      <w:numFmt w:val="bullet"/>
      <w:suff w:val="tab"/>
      <w:lvlText w:val="•"/>
      <w:rPr>
        <w:color w:val="3370ff"/>
      </w:rPr>
    </w:lvl>
  </w:abstractNum>
  <w:abstractNum w:abstractNumId="221036">
    <w:lvl>
      <w:numFmt w:val="bullet"/>
      <w:suff w:val="tab"/>
      <w:lvlText w:val="•"/>
      <w:rPr>
        <w:color w:val="3370ff"/>
      </w:rPr>
    </w:lvl>
  </w:abstractNum>
  <w:abstractNum w:abstractNumId="221037">
    <w:lvl>
      <w:numFmt w:val="bullet"/>
      <w:suff w:val="tab"/>
      <w:lvlText w:val="•"/>
      <w:rPr>
        <w:color w:val="3370ff"/>
      </w:rPr>
    </w:lvl>
  </w:abstractNum>
  <w:abstractNum w:abstractNumId="221038">
    <w:lvl>
      <w:start w:val="1"/>
      <w:numFmt w:val="decimal"/>
      <w:suff w:val="tab"/>
      <w:lvlText w:val="%1."/>
      <w:rPr>
        <w:color w:val="3370ff"/>
      </w:rPr>
    </w:lvl>
  </w:abstractNum>
  <w:abstractNum w:abstractNumId="221039">
    <w:lvl>
      <w:numFmt w:val="bullet"/>
      <w:suff w:val="tab"/>
      <w:lvlText w:val="•"/>
      <w:rPr>
        <w:color w:val="3370ff"/>
      </w:rPr>
    </w:lvl>
  </w:abstractNum>
  <w:abstractNum w:abstractNumId="221040">
    <w:lvl>
      <w:numFmt w:val="bullet"/>
      <w:suff w:val="tab"/>
      <w:lvlText w:val="•"/>
      <w:rPr>
        <w:color w:val="3370ff"/>
      </w:rPr>
    </w:lvl>
  </w:abstractNum>
  <w:abstractNum w:abstractNumId="221041">
    <w:lvl>
      <w:numFmt w:val="bullet"/>
      <w:suff w:val="tab"/>
      <w:lvlText w:val="•"/>
      <w:rPr>
        <w:color w:val="3370ff"/>
      </w:rPr>
    </w:lvl>
  </w:abstractNum>
  <w:abstractNum w:abstractNumId="221042">
    <w:lvl>
      <w:numFmt w:val="bullet"/>
      <w:suff w:val="tab"/>
      <w:lvlText w:val="•"/>
      <w:rPr>
        <w:color w:val="3370ff"/>
      </w:rPr>
    </w:lvl>
  </w:abstractNum>
  <w:abstractNum w:abstractNumId="221043">
    <w:lvl>
      <w:numFmt w:val="bullet"/>
      <w:suff w:val="tab"/>
      <w:lvlText w:val="•"/>
      <w:rPr>
        <w:color w:val="3370ff"/>
      </w:rPr>
    </w:lvl>
  </w:abstractNum>
  <w:abstractNum w:abstractNumId="221044">
    <w:lvl>
      <w:numFmt w:val="bullet"/>
      <w:suff w:val="tab"/>
      <w:lvlText w:val="•"/>
      <w:rPr>
        <w:color w:val="3370ff"/>
      </w:rPr>
    </w:lvl>
  </w:abstractNum>
  <w:abstractNum w:abstractNumId="221045">
    <w:lvl>
      <w:numFmt w:val="bullet"/>
      <w:suff w:val="tab"/>
      <w:lvlText w:val="•"/>
      <w:rPr>
        <w:color w:val="3370ff"/>
      </w:rPr>
    </w:lvl>
  </w:abstractNum>
  <w:abstractNum w:abstractNumId="221046">
    <w:lvl>
      <w:numFmt w:val="bullet"/>
      <w:suff w:val="tab"/>
      <w:lvlText w:val="•"/>
      <w:rPr>
        <w:color w:val="3370ff"/>
      </w:rPr>
    </w:lvl>
  </w:abstractNum>
  <w:abstractNum w:abstractNumId="221047">
    <w:lvl>
      <w:numFmt w:val="bullet"/>
      <w:suff w:val="tab"/>
      <w:lvlText w:val="•"/>
      <w:rPr>
        <w:color w:val="3370ff"/>
      </w:rPr>
    </w:lvl>
  </w:abstractNum>
  <w:abstractNum w:abstractNumId="221048">
    <w:lvl>
      <w:numFmt w:val="bullet"/>
      <w:suff w:val="tab"/>
      <w:lvlText w:val="•"/>
      <w:rPr>
        <w:color w:val="3370ff"/>
      </w:rPr>
    </w:lvl>
  </w:abstractNum>
  <w:abstractNum w:abstractNumId="221049">
    <w:lvl>
      <w:numFmt w:val="bullet"/>
      <w:suff w:val="tab"/>
      <w:lvlText w:val="•"/>
      <w:rPr>
        <w:color w:val="3370ff"/>
      </w:rPr>
    </w:lvl>
  </w:abstractNum>
  <w:abstractNum w:abstractNumId="221050">
    <w:lvl>
      <w:numFmt w:val="bullet"/>
      <w:suff w:val="tab"/>
      <w:lvlText w:val="•"/>
      <w:rPr>
        <w:color w:val="3370ff"/>
      </w:rPr>
    </w:lvl>
  </w:abstractNum>
  <w:abstractNum w:abstractNumId="221051">
    <w:lvl>
      <w:numFmt w:val="bullet"/>
      <w:suff w:val="tab"/>
      <w:lvlText w:val="•"/>
      <w:rPr>
        <w:color w:val="3370ff"/>
      </w:rPr>
    </w:lvl>
  </w:abstractNum>
  <w:abstractNum w:abstractNumId="221052">
    <w:lvl>
      <w:numFmt w:val="bullet"/>
      <w:suff w:val="tab"/>
      <w:lvlText w:val="•"/>
      <w:rPr>
        <w:color w:val="3370ff"/>
      </w:rPr>
    </w:lvl>
  </w:abstractNum>
  <w:abstractNum w:abstractNumId="221053">
    <w:lvl>
      <w:numFmt w:val="bullet"/>
      <w:suff w:val="tab"/>
      <w:lvlText w:val="•"/>
      <w:rPr>
        <w:color w:val="3370ff"/>
      </w:rPr>
    </w:lvl>
  </w:abstractNum>
  <w:abstractNum w:abstractNumId="221054">
    <w:lvl>
      <w:numFmt w:val="bullet"/>
      <w:suff w:val="tab"/>
      <w:lvlText w:val="•"/>
      <w:rPr>
        <w:color w:val="3370ff"/>
      </w:rPr>
    </w:lvl>
  </w:abstractNum>
  <w:abstractNum w:abstractNumId="221055">
    <w:lvl>
      <w:numFmt w:val="bullet"/>
      <w:suff w:val="tab"/>
      <w:lvlText w:val="•"/>
      <w:rPr>
        <w:color w:val="3370ff"/>
      </w:rPr>
    </w:lvl>
  </w:abstractNum>
  <w:abstractNum w:abstractNumId="221056">
    <w:lvl>
      <w:numFmt w:val="bullet"/>
      <w:suff w:val="tab"/>
      <w:lvlText w:val="•"/>
      <w:rPr>
        <w:color w:val="3370ff"/>
      </w:rPr>
    </w:lvl>
  </w:abstractNum>
  <w:abstractNum w:abstractNumId="221057">
    <w:lvl>
      <w:numFmt w:val="bullet"/>
      <w:suff w:val="tab"/>
      <w:lvlText w:val="•"/>
      <w:rPr>
        <w:color w:val="3370ff"/>
      </w:rPr>
    </w:lvl>
  </w:abstractNum>
  <w:abstractNum w:abstractNumId="221058">
    <w:lvl>
      <w:numFmt w:val="bullet"/>
      <w:suff w:val="tab"/>
      <w:lvlText w:val="•"/>
      <w:rPr>
        <w:color w:val="3370ff"/>
      </w:rPr>
    </w:lvl>
  </w:abstractNum>
  <w:abstractNum w:abstractNumId="221059">
    <w:lvl>
      <w:numFmt w:val="bullet"/>
      <w:suff w:val="tab"/>
      <w:lvlText w:val="•"/>
      <w:rPr>
        <w:color w:val="3370ff"/>
      </w:rPr>
    </w:lvl>
  </w:abstractNum>
  <w:abstractNum w:abstractNumId="221060">
    <w:lvl>
      <w:numFmt w:val="bullet"/>
      <w:suff w:val="tab"/>
      <w:lvlText w:val="•"/>
      <w:rPr>
        <w:color w:val="3370ff"/>
      </w:rPr>
    </w:lvl>
  </w:abstractNum>
  <w:abstractNum w:abstractNumId="221061">
    <w:lvl>
      <w:start w:val="1"/>
      <w:numFmt w:val="decimal"/>
      <w:suff w:val="tab"/>
      <w:lvlText w:val="%1."/>
      <w:rPr>
        <w:color w:val="3370ff"/>
      </w:rPr>
    </w:lvl>
  </w:abstractNum>
  <w:abstractNum w:abstractNumId="221062">
    <w:lvl>
      <w:start w:val="2"/>
      <w:numFmt w:val="decimal"/>
      <w:suff w:val="tab"/>
      <w:lvlText w:val="%1."/>
      <w:rPr>
        <w:color w:val="3370ff"/>
      </w:rPr>
    </w:lvl>
  </w:abstractNum>
  <w:abstractNum w:abstractNumId="221063">
    <w:lvl>
      <w:start w:val="3"/>
      <w:numFmt w:val="decimal"/>
      <w:suff w:val="tab"/>
      <w:lvlText w:val="%1."/>
      <w:rPr>
        <w:color w:val="3370ff"/>
      </w:rPr>
    </w:lvl>
  </w:abstractNum>
  <w:abstractNum w:abstractNumId="221064">
    <w:lvl>
      <w:start w:val="4"/>
      <w:numFmt w:val="decimal"/>
      <w:suff w:val="tab"/>
      <w:lvlText w:val="%1."/>
      <w:rPr>
        <w:color w:val="3370ff"/>
      </w:rPr>
    </w:lvl>
  </w:abstractNum>
  <w:abstractNum w:abstractNumId="221065">
    <w:lvl>
      <w:start w:val="5"/>
      <w:numFmt w:val="decimal"/>
      <w:suff w:val="tab"/>
      <w:lvlText w:val="%1."/>
      <w:rPr>
        <w:color w:val="3370ff"/>
      </w:rPr>
    </w:lvl>
  </w:abstractNum>
  <w:abstractNum w:abstractNumId="221066">
    <w:lvl>
      <w:start w:val="6"/>
      <w:numFmt w:val="decimal"/>
      <w:suff w:val="tab"/>
      <w:lvlText w:val="%1."/>
      <w:rPr>
        <w:color w:val="3370ff"/>
      </w:rPr>
    </w:lvl>
  </w:abstractNum>
  <w:abstractNum w:abstractNumId="221067">
    <w:lvl>
      <w:start w:val="1"/>
      <w:numFmt w:val="decimal"/>
      <w:suff w:val="tab"/>
      <w:lvlText w:val="%1."/>
      <w:rPr>
        <w:color w:val="3370ff"/>
      </w:rPr>
    </w:lvl>
  </w:abstractNum>
  <w:abstractNum w:abstractNumId="221068">
    <w:lvl>
      <w:start w:val="2"/>
      <w:numFmt w:val="decimal"/>
      <w:suff w:val="tab"/>
      <w:lvlText w:val="%1."/>
      <w:rPr>
        <w:color w:val="3370ff"/>
      </w:rPr>
    </w:lvl>
  </w:abstractNum>
  <w:abstractNum w:abstractNumId="221069">
    <w:lvl>
      <w:start w:val="3"/>
      <w:numFmt w:val="decimal"/>
      <w:suff w:val="tab"/>
      <w:lvlText w:val="%1."/>
      <w:rPr>
        <w:color w:val="3370ff"/>
      </w:rPr>
    </w:lvl>
  </w:abstractNum>
  <w:abstractNum w:abstractNumId="221070">
    <w:lvl>
      <w:start w:val="4"/>
      <w:numFmt w:val="decimal"/>
      <w:suff w:val="tab"/>
      <w:lvlText w:val="%1."/>
      <w:rPr>
        <w:color w:val="3370ff"/>
      </w:rPr>
    </w:lvl>
  </w:abstractNum>
  <w:abstractNum w:abstractNumId="221071">
    <w:lvl>
      <w:start w:val="1"/>
      <w:numFmt w:val="decimal"/>
      <w:suff w:val="tab"/>
      <w:lvlText w:val="%1."/>
      <w:rPr>
        <w:color w:val="3370ff"/>
      </w:rPr>
    </w:lvl>
  </w:abstractNum>
  <w:abstractNum w:abstractNumId="221072">
    <w:lvl>
      <w:start w:val="2"/>
      <w:numFmt w:val="decimal"/>
      <w:suff w:val="tab"/>
      <w:lvlText w:val="%1."/>
      <w:rPr>
        <w:color w:val="3370ff"/>
      </w:rPr>
    </w:lvl>
  </w:abstractNum>
  <w:abstractNum w:abstractNumId="221073">
    <w:lvl>
      <w:numFmt w:val="bullet"/>
      <w:suff w:val="tab"/>
      <w:lvlText w:val="•"/>
      <w:rPr>
        <w:color w:val="3370ff"/>
      </w:rPr>
    </w:lvl>
  </w:abstractNum>
  <w:abstractNum w:abstractNumId="221074">
    <w:lvl>
      <w:numFmt w:val="bullet"/>
      <w:suff w:val="tab"/>
      <w:lvlText w:val="•"/>
      <w:rPr>
        <w:color w:val="3370ff"/>
      </w:rPr>
    </w:lvl>
  </w:abstractNum>
  <w:abstractNum w:abstractNumId="221075">
    <w:lvl>
      <w:numFmt w:val="bullet"/>
      <w:suff w:val="tab"/>
      <w:lvlText w:val="•"/>
      <w:rPr>
        <w:color w:val="3370ff"/>
      </w:rPr>
    </w:lvl>
  </w:abstractNum>
  <w:abstractNum w:abstractNumId="221076">
    <w:lvl>
      <w:numFmt w:val="bullet"/>
      <w:suff w:val="tab"/>
      <w:lvlText w:val="•"/>
      <w:rPr>
        <w:color w:val="3370ff"/>
      </w:rPr>
    </w:lvl>
  </w:abstractNum>
  <w:abstractNum w:abstractNumId="221077">
    <w:lvl>
      <w:numFmt w:val="bullet"/>
      <w:suff w:val="tab"/>
      <w:lvlText w:val="•"/>
      <w:rPr>
        <w:color w:val="3370ff"/>
      </w:rPr>
    </w:lvl>
  </w:abstractNum>
  <w:abstractNum w:abstractNumId="221078">
    <w:lvl>
      <w:numFmt w:val="bullet"/>
      <w:suff w:val="tab"/>
      <w:lvlText w:val="•"/>
      <w:rPr>
        <w:color w:val="3370ff"/>
      </w:rPr>
    </w:lvl>
  </w:abstractNum>
  <w:abstractNum w:abstractNumId="221079">
    <w:lvl>
      <w:start w:val="1"/>
      <w:numFmt w:val="decimal"/>
      <w:suff w:val="tab"/>
      <w:lvlText w:val="%1."/>
      <w:rPr>
        <w:color w:val="3370ff"/>
      </w:rPr>
    </w:lvl>
  </w:abstractNum>
  <w:abstractNum w:abstractNumId="221080">
    <w:lvl>
      <w:numFmt w:val="bullet"/>
      <w:suff w:val="tab"/>
      <w:lvlText w:val="￮"/>
      <w:rPr>
        <w:color w:val="3370ff"/>
      </w:rPr>
    </w:lvl>
  </w:abstractNum>
  <w:abstractNum w:abstractNumId="221081">
    <w:lvl>
      <w:numFmt w:val="bullet"/>
      <w:suff w:val="tab"/>
      <w:lvlText w:val="￮"/>
      <w:rPr>
        <w:color w:val="3370ff"/>
      </w:rPr>
    </w:lvl>
  </w:abstractNum>
  <w:abstractNum w:abstractNumId="221082">
    <w:lvl>
      <w:numFmt w:val="bullet"/>
      <w:suff w:val="tab"/>
      <w:lvlText w:val="￮"/>
      <w:rPr>
        <w:color w:val="3370ff"/>
      </w:rPr>
    </w:lvl>
  </w:abstractNum>
  <w:abstractNum w:abstractNumId="221083">
    <w:lvl>
      <w:numFmt w:val="bullet"/>
      <w:suff w:val="tab"/>
      <w:lvlText w:val="￮"/>
      <w:rPr>
        <w:color w:val="3370ff"/>
      </w:rPr>
    </w:lvl>
  </w:abstractNum>
  <w:abstractNum w:abstractNumId="221084">
    <w:lvl>
      <w:numFmt w:val="bullet"/>
      <w:suff w:val="tab"/>
      <w:lvlText w:val="•"/>
      <w:rPr>
        <w:color w:val="3370ff"/>
      </w:rPr>
    </w:lvl>
  </w:abstractNum>
  <w:abstractNum w:abstractNumId="221085">
    <w:lvl>
      <w:numFmt w:val="bullet"/>
      <w:suff w:val="tab"/>
      <w:lvlText w:val="•"/>
      <w:rPr>
        <w:color w:val="3370ff"/>
      </w:rPr>
    </w:lvl>
  </w:abstractNum>
  <w:abstractNum w:abstractNumId="221086">
    <w:lvl>
      <w:numFmt w:val="bullet"/>
      <w:suff w:val="tab"/>
      <w:lvlText w:val="•"/>
      <w:rPr>
        <w:color w:val="3370ff"/>
      </w:rPr>
    </w:lvl>
  </w:abstractNum>
  <w:abstractNum w:abstractNumId="221087">
    <w:lvl>
      <w:numFmt w:val="bullet"/>
      <w:suff w:val="tab"/>
      <w:lvlText w:val="•"/>
      <w:rPr>
        <w:color w:val="3370ff"/>
      </w:rPr>
    </w:lvl>
  </w:abstractNum>
  <w:abstractNum w:abstractNumId="221088">
    <w:lvl>
      <w:numFmt w:val="bullet"/>
      <w:suff w:val="tab"/>
      <w:lvlText w:val="•"/>
      <w:rPr>
        <w:color w:val="3370ff"/>
      </w:rPr>
    </w:lvl>
  </w:abstractNum>
  <w:abstractNum w:abstractNumId="221089">
    <w:lvl>
      <w:start w:val="1"/>
      <w:numFmt w:val="decimal"/>
      <w:suff w:val="tab"/>
      <w:lvlText w:val="%1."/>
      <w:rPr>
        <w:color w:val="3370ff"/>
      </w:rPr>
    </w:lvl>
  </w:abstractNum>
  <w:abstractNum w:abstractNumId="22109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21030"/>
  </w:num>
  <w:num w:numId="2">
    <w:abstractNumId w:val="221031"/>
  </w:num>
  <w:num w:numId="3">
    <w:abstractNumId w:val="221032"/>
  </w:num>
  <w:num w:numId="4">
    <w:abstractNumId w:val="221033"/>
  </w:num>
  <w:num w:numId="5">
    <w:abstractNumId w:val="221034"/>
  </w:num>
  <w:num w:numId="6">
    <w:abstractNumId w:val="221035"/>
  </w:num>
  <w:num w:numId="7">
    <w:abstractNumId w:val="221036"/>
  </w:num>
  <w:num w:numId="8">
    <w:abstractNumId w:val="221037"/>
  </w:num>
  <w:num w:numId="9">
    <w:abstractNumId w:val="221038"/>
  </w:num>
  <w:num w:numId="10">
    <w:abstractNumId w:val="221039"/>
  </w:num>
  <w:num w:numId="11">
    <w:abstractNumId w:val="221040"/>
  </w:num>
  <w:num w:numId="12">
    <w:abstractNumId w:val="221041"/>
  </w:num>
  <w:num w:numId="13">
    <w:abstractNumId w:val="221042"/>
  </w:num>
  <w:num w:numId="14">
    <w:abstractNumId w:val="221043"/>
  </w:num>
  <w:num w:numId="15">
    <w:abstractNumId w:val="221044"/>
  </w:num>
  <w:num w:numId="16">
    <w:abstractNumId w:val="221045"/>
  </w:num>
  <w:num w:numId="17">
    <w:abstractNumId w:val="221046"/>
  </w:num>
  <w:num w:numId="18">
    <w:abstractNumId w:val="221047"/>
  </w:num>
  <w:num w:numId="19">
    <w:abstractNumId w:val="221048"/>
  </w:num>
  <w:num w:numId="20">
    <w:abstractNumId w:val="221049"/>
  </w:num>
  <w:num w:numId="21">
    <w:abstractNumId w:val="221050"/>
  </w:num>
  <w:num w:numId="22">
    <w:abstractNumId w:val="221051"/>
  </w:num>
  <w:num w:numId="23">
    <w:abstractNumId w:val="221052"/>
  </w:num>
  <w:num w:numId="24">
    <w:abstractNumId w:val="221053"/>
  </w:num>
  <w:num w:numId="25">
    <w:abstractNumId w:val="221054"/>
  </w:num>
  <w:num w:numId="26">
    <w:abstractNumId w:val="221055"/>
  </w:num>
  <w:num w:numId="27">
    <w:abstractNumId w:val="221056"/>
  </w:num>
  <w:num w:numId="28">
    <w:abstractNumId w:val="221057"/>
  </w:num>
  <w:num w:numId="29">
    <w:abstractNumId w:val="221058"/>
  </w:num>
  <w:num w:numId="30">
    <w:abstractNumId w:val="221059"/>
  </w:num>
  <w:num w:numId="31">
    <w:abstractNumId w:val="221060"/>
  </w:num>
  <w:num w:numId="32">
    <w:abstractNumId w:val="221061"/>
  </w:num>
  <w:num w:numId="33">
    <w:abstractNumId w:val="221062"/>
  </w:num>
  <w:num w:numId="34">
    <w:abstractNumId w:val="221063"/>
  </w:num>
  <w:num w:numId="35">
    <w:abstractNumId w:val="221064"/>
  </w:num>
  <w:num w:numId="36">
    <w:abstractNumId w:val="221065"/>
  </w:num>
  <w:num w:numId="37">
    <w:abstractNumId w:val="221066"/>
  </w:num>
  <w:num w:numId="38">
    <w:abstractNumId w:val="221067"/>
  </w:num>
  <w:num w:numId="39">
    <w:abstractNumId w:val="221068"/>
  </w:num>
  <w:num w:numId="40">
    <w:abstractNumId w:val="221069"/>
  </w:num>
  <w:num w:numId="41">
    <w:abstractNumId w:val="221070"/>
  </w:num>
  <w:num w:numId="42">
    <w:abstractNumId w:val="221071"/>
  </w:num>
  <w:num w:numId="43">
    <w:abstractNumId w:val="221072"/>
  </w:num>
  <w:num w:numId="44">
    <w:abstractNumId w:val="221073"/>
  </w:num>
  <w:num w:numId="45">
    <w:abstractNumId w:val="221074"/>
  </w:num>
  <w:num w:numId="46">
    <w:abstractNumId w:val="221075"/>
  </w:num>
  <w:num w:numId="47">
    <w:abstractNumId w:val="221076"/>
  </w:num>
  <w:num w:numId="48">
    <w:abstractNumId w:val="221077"/>
  </w:num>
  <w:num w:numId="49">
    <w:abstractNumId w:val="221078"/>
  </w:num>
  <w:num w:numId="50">
    <w:abstractNumId w:val="221079"/>
  </w:num>
  <w:num w:numId="51">
    <w:abstractNumId w:val="221080"/>
  </w:num>
  <w:num w:numId="52">
    <w:abstractNumId w:val="221081"/>
  </w:num>
  <w:num w:numId="53">
    <w:abstractNumId w:val="221082"/>
  </w:num>
  <w:num w:numId="54">
    <w:abstractNumId w:val="221083"/>
  </w:num>
  <w:num w:numId="55">
    <w:abstractNumId w:val="221084"/>
  </w:num>
  <w:num w:numId="56">
    <w:abstractNumId w:val="221085"/>
  </w:num>
  <w:num w:numId="57">
    <w:abstractNumId w:val="221086"/>
  </w:num>
  <w:num w:numId="58">
    <w:abstractNumId w:val="221087"/>
  </w:num>
  <w:num w:numId="59">
    <w:abstractNumId w:val="221088"/>
  </w:num>
  <w:num w:numId="60">
    <w:abstractNumId w:val="221089"/>
  </w:num>
  <w:num w:numId="61">
    <w:abstractNumId w:val="2210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embeddings/Microsoft_Excel_Worksheet2.xlsx" Type="http://schemas.openxmlformats.org/officeDocument/2006/relationships/package"/><Relationship Id="rId16" Target="media/image8.png" Type="http://schemas.openxmlformats.org/officeDocument/2006/relationships/image"/><Relationship Id="rId17" Target="embeddings/Microsoft_Excel_Worksheet3.xlsx" Type="http://schemas.openxmlformats.org/officeDocument/2006/relationships/pack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22" Target="media/image13.png" Type="http://schemas.openxmlformats.org/officeDocument/2006/relationships/image"/><Relationship Id="rId23" Target="media/image14.png" Type="http://schemas.openxmlformats.org/officeDocument/2006/relationships/image"/><Relationship Id="rId24" Target="embeddings/Microsoft_Excel_Worksheet4.xlsx" Type="http://schemas.openxmlformats.org/officeDocument/2006/relationships/package"/><Relationship Id="rId25" Target="media/image15.png" Type="http://schemas.openxmlformats.org/officeDocument/2006/relationships/image"/><Relationship Id="rId26" Target="media/image16.png" Type="http://schemas.openxmlformats.org/officeDocument/2006/relationships/image"/><Relationship Id="rId27" Target="media/image17.png" Type="http://schemas.openxmlformats.org/officeDocument/2006/relationships/image"/><Relationship Id="rId28" Target="media/image18.png" Type="http://schemas.openxmlformats.org/officeDocument/2006/relationships/image"/><Relationship Id="rId29" Target="media/image19.png" Type="http://schemas.openxmlformats.org/officeDocument/2006/relationships/image"/><Relationship Id="rId3" Target="footer1.xml" Type="http://schemas.openxmlformats.org/officeDocument/2006/relationships/footer"/><Relationship Id="rId30" Target="https://arxiv.org/abs/2607.01831?utm_source=chatgpt.com" TargetMode="External" Type="http://schemas.openxmlformats.org/officeDocument/2006/relationships/hyperlink"/><Relationship Id="rId31" Target="https://arxiv.org/abs/2609.17652?utm_source=chatgpt.com" TargetMode="External" Type="http://schemas.openxmlformats.org/officeDocument/2006/relationships/hyperlink"/><Relationship Id="rId32" Target="https://arxiv.org/abs/2610.11245?utm_source=chatgpt.com" TargetMode="External" Type="http://schemas.openxmlformats.org/officeDocument/2006/relationships/hyperlink"/><Relationship Id="rId33" Target="header1.xml" Type="http://schemas.openxmlformats.org/officeDocument/2006/relationships/header"/><Relationship Id="rId4" Target="numbering.xml" Type="http://schemas.openxmlformats.org/officeDocument/2006/relationships/numbering"/><Relationship Id="rId5" Target="https://my.feishu.cn/wiki/ZYFnwBKeCib7XYkoiRKcKPGZnDb" TargetMode="External" Type="http://schemas.openxmlformats.org/officeDocument/2006/relationships/hyperlink"/><Relationship Id="rId6" Target="https://my.feishu.cn/wiki/MkYFwG6L7iwbEFksBzDcKzBonje" TargetMode="External" Type="http://schemas.openxmlformats.org/officeDocument/2006/relationships/hyperlink"/><Relationship Id="rId7" Target="media/image1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2026-10-22T12:52:59Z</dcterms:created>
  <dc:creator>Apache POI</dc:creator>
</cp:coreProperties>
</file>