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02C"/>
          <w:sz w:val="56"/>
        </w:rPr>
        <w:t>PSAT Admin Guide</w:t>
      </w:r>
    </w:p>
    <w:p>
      <w:pPr>
        <w:spacing w:after="480"/>
        <w:jc w:val="center"/>
      </w:pPr>
      <w:r>
        <w:rPr>
          <w:color w:val="4A5568"/>
          <w:sz w:val="24"/>
        </w:rPr>
        <w:t>CycleRAP v2.11  ·  Version 2  (Updated June 2026)</w:t>
      </w:r>
    </w:p>
    <w:p>
      <w:pPr>
        <w:pBdr>
          <w:bottom w:val="single" w:sz="6" w:space="1" w:color="CCCCCC"/>
        </w:pBdr>
        <w:spacing w:after="0"/>
      </w:pPr>
    </w:p>
    <w:p>
      <w:r>
        <w:br w:type="page"/>
      </w:r>
    </w:p>
    <w:p>
      <w:pPr>
        <w:pStyle w:val="Heading1"/>
        <w:spacing w:before="360"/>
      </w:pPr>
      <w:r>
        <w:t>1. Deployment &amp; Infrastructure</w:t>
      </w:r>
    </w:p>
    <w:p>
      <w:r>
        <w:t>This section covers how to start the application, manage data persistence, and ensure the system is running correctly.</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1.1 Starting the App</w:t>
      </w:r>
    </w:p>
    <w:p>
      <w:r>
        <w:t xml:space="preserve">The application is typically orchestrated via </w:t>
      </w:r>
      <w:r>
        <w:rPr>
          <w:b/>
        </w:rPr>
        <w:t>Docker Compose</w:t>
      </w:r>
      <w:r>
        <w:t>. Run the following command to build and start both the Flask backend and the React frontend:</w:t>
      </w:r>
    </w:p>
    <w:p>
      <w:pPr>
        <w:spacing w:before="80" w:after="80"/>
        <w:ind w:left="432"/>
        <w:shd w:val="clear" w:color="auto" w:fill="1A202C"/>
      </w:pPr>
      <w:r>
        <w:rPr>
          <w:rFonts w:ascii="Courier New" w:hAnsi="Courier New"/>
          <w:color w:val="F1F5F9"/>
          <w:sz w:val="18"/>
        </w:rPr>
        <w:t>docker compose up --build</w:t>
      </w:r>
    </w:p>
    <w:p>
      <w:r>
        <w:t xml:space="preserve">For direct local launching on Windows, you can use the </w:t>
      </w:r>
      <w:r>
        <w:rPr>
          <w:rFonts w:ascii="Courier New" w:hAnsi="Courier New"/>
          <w:color w:val="C53030"/>
          <w:sz w:val="18"/>
        </w:rPr>
        <w:t>Run-PSAT.bat</w:t>
      </w:r>
      <w:r>
        <w:t xml:space="preserve"> script in the project root instead.</w:t>
      </w:r>
    </w:p>
    <w:p>
      <w:pPr>
        <w:spacing w:before="80" w:after="80"/>
        <w:ind w:left="504"/>
        <w:pBdr>
          <w:left w:val="single" w:sz="12" w:space="4" w:color="3182CE"/>
        </w:pBdr>
      </w:pPr>
      <w:r>
        <w:rPr>
          <w:i/>
          <w:color w:val="4A5568"/>
        </w:rPr>
        <w:t>Rebuilding with `--build` is recommended after any code or dependency changes. For subsequent starts without changes, `docker compose up` (without `--build`) is faster.</w:t>
      </w:r>
    </w:p>
    <w:p>
      <w:pPr>
        <w:pStyle w:val="Heading3"/>
        <w:spacing w:before="160"/>
      </w:pPr>
      <w:r>
        <w:t>1.2 Data Persistence</w:t>
      </w:r>
    </w:p>
    <w:p>
      <w:r>
        <w:t xml:space="preserve">User-created projects, images, and results are stored in the </w:t>
      </w:r>
      <w:r>
        <w:rPr>
          <w:rFonts w:ascii="Courier New" w:hAnsi="Courier New"/>
          <w:color w:val="C53030"/>
          <w:sz w:val="18"/>
        </w:rPr>
        <w:t>data/</w:t>
      </w:r>
      <w:r>
        <w:t xml:space="preserve"> directory, which is bind-mounted into the backend container.</w:t>
      </w:r>
    </w:p>
    <w:p>
      <w:r/>
      <w:r>
        <w:rPr>
          <w:b/>
        </w:rPr>
        <w:t>Backing up user data:</w:t>
      </w:r>
      <w:r/>
    </w:p>
    <w:p>
      <w:pPr>
        <w:pStyle w:val="ListNumber"/>
      </w:pPr>
      <w:r>
        <w:t>Stop the application (</w:t>
      </w:r>
      <w:r>
        <w:rPr>
          <w:rFonts w:ascii="Courier New" w:hAnsi="Courier New"/>
          <w:color w:val="C53030"/>
          <w:sz w:val="18"/>
        </w:rPr>
        <w:t>docker compose down</w:t>
      </w:r>
      <w:r>
        <w:t>).</w:t>
      </w:r>
    </w:p>
    <w:p>
      <w:pPr>
        <w:pStyle w:val="ListNumber"/>
      </w:pPr>
      <w:r>
        <w:t xml:space="preserve">Copy the entire </w:t>
      </w:r>
      <w:r>
        <w:rPr>
          <w:rFonts w:ascii="Courier New" w:hAnsi="Courier New"/>
          <w:color w:val="C53030"/>
          <w:sz w:val="18"/>
        </w:rPr>
        <w:t>data/</w:t>
      </w:r>
      <w:r>
        <w:t xml:space="preserve"> directory to a backup location.</w:t>
      </w:r>
    </w:p>
    <w:p>
      <w:pPr>
        <w:pStyle w:val="ListNumber"/>
      </w:pPr>
      <w:r>
        <w:t>Restart the application (</w:t>
      </w:r>
      <w:r>
        <w:rPr>
          <w:rFonts w:ascii="Courier New" w:hAnsi="Courier New"/>
          <w:color w:val="C53030"/>
          <w:sz w:val="18"/>
        </w:rPr>
        <w:t>docker compose up</w:t>
      </w:r>
      <w:r>
        <w:t>).</w:t>
      </w:r>
    </w:p>
    <w:p>
      <w:r>
        <w:t xml:space="preserve">Restoring from backup is the reverse: stop, replace </w:t>
      </w:r>
      <w:r>
        <w:rPr>
          <w:rFonts w:ascii="Courier New" w:hAnsi="Courier New"/>
          <w:color w:val="C53030"/>
          <w:sz w:val="18"/>
        </w:rPr>
        <w:t>data/</w:t>
      </w:r>
      <w:r>
        <w:t>, restart. This covers all user projects, coded segments, treatment data, and saved results.</w:t>
      </w:r>
    </w:p>
    <w:p>
      <w:r>
        <w:br w:type="page"/>
      </w:r>
    </w:p>
    <w:p>
      <w:pPr>
        <w:pStyle w:val="Heading1"/>
        <w:spacing w:before="360"/>
      </w:pPr>
      <w:r>
        <w:t>2. Managing Machine Learning Models</w:t>
      </w:r>
    </w:p>
    <w:p>
      <w:r>
        <w:t>PSAT uses YOLO-based computer vision models to auto-code segment attributes from street-level photographs.</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2.1 Model Storage</w:t>
      </w:r>
    </w:p>
    <w:p>
      <w:r>
        <w:t>The computer-vision prediction models (YOLO weights) are stored in:</w:t>
      </w:r>
    </w:p>
    <w:p>
      <w:pPr>
        <w:spacing w:before="80" w:after="80"/>
        <w:ind w:left="432"/>
        <w:shd w:val="clear" w:color="auto" w:fill="1A202C"/>
      </w:pPr>
      <w:r>
        <w:rPr>
          <w:rFonts w:ascii="Courier New" w:hAnsi="Courier New"/>
          <w:color w:val="F1F5F9"/>
          <w:sz w:val="18"/>
        </w:rPr>
        <w:t>backend/models/</w:t>
      </w:r>
    </w:p>
    <w:p>
      <w:r>
        <w:t xml:space="preserve">Each model is a </w:t>
      </w:r>
      <w:r>
        <w:rPr>
          <w:rFonts w:ascii="Courier New" w:hAnsi="Courier New"/>
          <w:color w:val="C53030"/>
          <w:sz w:val="18"/>
        </w:rPr>
        <w:t>.pt</w:t>
      </w:r>
      <w:r>
        <w:t xml:space="preserve"> file (PyTorch weights). The filenames correspond to specific attribute classifiers (e.g. facility type, delineation, obstacle detection).</w:t>
      </w:r>
    </w:p>
    <w:p>
      <w:pPr>
        <w:pStyle w:val="Heading3"/>
        <w:spacing w:before="160"/>
      </w:pPr>
      <w:r>
        <w:t>2.2 Deploying a New Model</w:t>
      </w:r>
    </w:p>
    <w:p>
      <w:r>
        <w:t>To replace a model with a newly trained version:</w:t>
      </w:r>
    </w:p>
    <w:p>
      <w:pPr>
        <w:pStyle w:val="ListNumber"/>
      </w:pPr>
      <w:r>
        <w:t>Stop the backend container (</w:t>
      </w:r>
      <w:r>
        <w:rPr>
          <w:rFonts w:ascii="Courier New" w:hAnsi="Courier New"/>
          <w:color w:val="C53030"/>
          <w:sz w:val="18"/>
        </w:rPr>
        <w:t>docker compose stop backend</w:t>
      </w:r>
      <w:r>
        <w:t>).</w:t>
      </w:r>
    </w:p>
    <w:p>
      <w:pPr>
        <w:pStyle w:val="ListNumber"/>
      </w:pPr>
      <w:r>
        <w:t xml:space="preserve">Replace the existing </w:t>
      </w:r>
      <w:r>
        <w:rPr>
          <w:rFonts w:ascii="Courier New" w:hAnsi="Courier New"/>
          <w:color w:val="C53030"/>
          <w:sz w:val="18"/>
        </w:rPr>
        <w:t>.pt</w:t>
      </w:r>
      <w:r>
        <w:t xml:space="preserve"> file in </w:t>
      </w:r>
      <w:r>
        <w:rPr>
          <w:rFonts w:ascii="Courier New" w:hAnsi="Courier New"/>
          <w:color w:val="C53030"/>
          <w:sz w:val="18"/>
        </w:rPr>
        <w:t>backend/models/</w:t>
      </w:r>
      <w:r>
        <w:t xml:space="preserve"> with the new weights file. Keep the filename identical so the application picks it up automatically.</w:t>
      </w:r>
    </w:p>
    <w:p>
      <w:pPr>
        <w:pStyle w:val="ListNumber"/>
      </w:pPr>
      <w:r>
        <w:t>Restart the backend (</w:t>
      </w:r>
      <w:r>
        <w:rPr>
          <w:rFonts w:ascii="Courier New" w:hAnsi="Courier New"/>
          <w:color w:val="C53030"/>
          <w:sz w:val="18"/>
        </w:rPr>
        <w:t>docker compose start backend</w:t>
      </w:r>
      <w:r>
        <w:t>).</w:t>
      </w:r>
    </w:p>
    <w:p>
      <w:pPr>
        <w:pStyle w:val="ListNumber"/>
      </w:pPr>
      <w:r>
        <w:t>Run a test auto-code on a known segment to verify the new model produces expected results.</w:t>
      </w:r>
    </w:p>
    <w:p>
      <w:pPr>
        <w:spacing w:before="80" w:after="80"/>
        <w:ind w:left="504"/>
        <w:pBdr>
          <w:left w:val="single" w:sz="12" w:space="4" w:color="3182CE"/>
        </w:pBdr>
      </w:pPr>
      <w:r>
        <w:rPr>
          <w:i/>
          <w:color w:val="4A5568"/>
        </w:rPr>
        <w:t>Do not rename model files unless you also update the corresponding reference in the backend configuration. Mismatched filenames will cause auto-code failures.</w:t>
      </w:r>
    </w:p>
    <w:p>
      <w:pPr>
        <w:pStyle w:val="Heading3"/>
        <w:spacing w:before="160"/>
      </w:pPr>
      <w:r>
        <w:t>2.3 Hardware Configuration</w:t>
      </w:r>
    </w:p>
    <w:p>
      <w:r>
        <w:t>The backend loads all PyTorch models into memory at startup.</w:t>
      </w:r>
    </w:p>
    <w:p>
      <w:pPr>
        <w:pStyle w:val="ListBullet"/>
      </w:pPr>
      <w:r/>
      <w:r>
        <w:rPr>
          <w:b/>
        </w:rPr>
        <w:t>RAM:</w:t>
      </w:r>
      <w:r>
        <w:t xml:space="preserve"> Ensure the host machine has at least 8 GB of available RAM. Multiple models are loaded simultaneously.</w:t>
      </w:r>
    </w:p>
    <w:p>
      <w:pPr>
        <w:pStyle w:val="ListBullet"/>
      </w:pPr>
      <w:r/>
      <w:r>
        <w:rPr>
          <w:b/>
        </w:rPr>
        <w:t>GPU acceleration:</w:t>
      </w:r>
      <w:r>
        <w:t xml:space="preserve"> CUDA drivers must be properly configured on the host for GPU inference. If CUDA is unavailable, the models fall back to CPU automatically — auto-code will work but will be slower.</w:t>
      </w:r>
    </w:p>
    <w:p>
      <w:pPr>
        <w:pStyle w:val="ListBullet"/>
      </w:pPr>
      <w:r/>
      <w:r>
        <w:rPr>
          <w:b/>
        </w:rPr>
        <w:t>Checking model load status:</w:t>
      </w:r>
      <w:r>
        <w:t xml:space="preserve"> Query </w:t>
      </w:r>
      <w:r>
        <w:rPr>
          <w:rFonts w:ascii="Courier New" w:hAnsi="Courier New"/>
          <w:color w:val="C53030"/>
          <w:sz w:val="18"/>
        </w:rPr>
        <w:t>/api/health</w:t>
      </w:r>
      <w:r>
        <w:t xml:space="preserve"> after startup; a healthy response confirms all models loaded correctly.</w:t>
      </w:r>
    </w:p>
    <w:p>
      <w:r>
        <w:br w:type="page"/>
      </w:r>
    </w:p>
    <w:p>
      <w:pPr>
        <w:pStyle w:val="Heading1"/>
        <w:spacing w:before="360"/>
      </w:pPr>
      <w:r>
        <w:t>3. Managing GIS Data Layers</w:t>
      </w:r>
    </w:p>
    <w:p>
      <w:r>
        <w:t>GIS shapefiles power the spatial auto-coding rules in PSAT (bus stops, MRT exits, road crossings, area types, etc.). This section covers where they are stored and how to update them.</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3.1 Storage Location</w:t>
      </w:r>
    </w:p>
    <w:p>
      <w:r>
        <w:t>All CycleRAP contextual GIS infrastructure shapefiles are stored under:</w:t>
      </w:r>
    </w:p>
    <w:p>
      <w:pPr>
        <w:spacing w:before="80" w:after="80"/>
        <w:ind w:left="432"/>
        <w:shd w:val="clear" w:color="auto" w:fill="1A202C"/>
      </w:pPr>
      <w:r>
        <w:rPr>
          <w:rFonts w:ascii="Courier New" w:hAnsi="Courier New"/>
          <w:color w:val="F1F5F9"/>
          <w:sz w:val="18"/>
        </w:rPr>
        <w:t>backend/shapefiles/</w:t>
      </w:r>
    </w:p>
    <w:p>
      <w:r>
        <w:t xml:space="preserve">Each layer lives in its own subfolder (e.g. </w:t>
      </w:r>
      <w:r>
        <w:rPr>
          <w:rFonts w:ascii="Courier New" w:hAnsi="Courier New"/>
          <w:color w:val="C53030"/>
          <w:sz w:val="18"/>
        </w:rPr>
        <w:t>bus_stop/BusStop.shp</w:t>
      </w:r>
      <w:r>
        <w:t xml:space="preserve">, </w:t>
      </w:r>
      <w:r>
        <w:rPr>
          <w:rFonts w:ascii="Courier New" w:hAnsi="Courier New"/>
          <w:color w:val="C53030"/>
          <w:sz w:val="18"/>
        </w:rPr>
        <w:t>Mrt_exit/MRT_EXITS.shp</w:t>
      </w:r>
      <w:r>
        <w:t>). Each shapefile must be accompanied by its companion files (</w:t>
      </w:r>
      <w:r>
        <w:rPr>
          <w:rFonts w:ascii="Courier New" w:hAnsi="Courier New"/>
          <w:color w:val="C53030"/>
          <w:sz w:val="18"/>
        </w:rPr>
        <w:t>.shx</w:t>
      </w:r>
      <w:r>
        <w:t xml:space="preserve">, </w:t>
      </w:r>
      <w:r>
        <w:rPr>
          <w:rFonts w:ascii="Courier New" w:hAnsi="Courier New"/>
          <w:color w:val="C53030"/>
          <w:sz w:val="18"/>
        </w:rPr>
        <w:t>.dbf</w:t>
      </w:r>
      <w:r>
        <w:t xml:space="preserve">, </w:t>
      </w:r>
      <w:r>
        <w:rPr>
          <w:rFonts w:ascii="Courier New" w:hAnsi="Courier New"/>
          <w:color w:val="C53030"/>
          <w:sz w:val="18"/>
        </w:rPr>
        <w:t>.prj</w:t>
      </w:r>
      <w:r>
        <w:t>).</w:t>
      </w:r>
    </w:p>
    <w:p>
      <w:pPr>
        <w:pStyle w:val="Heading3"/>
        <w:spacing w:before="160"/>
      </w:pPr>
      <w:r>
        <w:t>3.2 Updating via the UI</w:t>
      </w:r>
    </w:p>
    <w:p>
      <w:r>
        <w:t>Administrators can add or replace layers without touching the filesystem directly:</w:t>
      </w:r>
    </w:p>
    <w:p>
      <w:pPr>
        <w:pStyle w:val="ListNumber"/>
      </w:pPr>
      <w:r>
        <w:t xml:space="preserve">Log in to PSAT and navigate to the </w:t>
      </w:r>
      <w:r>
        <w:rPr>
          <w:b/>
        </w:rPr>
        <w:t>Projects</w:t>
      </w:r>
      <w:r>
        <w:t xml:space="preserve"> page.</w:t>
      </w:r>
    </w:p>
    <w:p>
      <w:pPr>
        <w:pStyle w:val="ListNumber"/>
      </w:pPr>
      <w:r>
        <w:t xml:space="preserve">Click </w:t>
      </w:r>
      <w:r>
        <w:rPr>
          <w:b/>
        </w:rPr>
        <w:t>View GIS Layers</w:t>
      </w:r>
      <w:r>
        <w:t xml:space="preserve"> in the sidebar.</w:t>
      </w:r>
    </w:p>
    <w:p>
      <w:pPr>
        <w:pStyle w:val="ListNumber"/>
      </w:pPr>
      <w:r>
        <w:t xml:space="preserve">To add a new layer, click </w:t>
      </w:r>
      <w:r>
        <w:rPr>
          <w:b/>
        </w:rPr>
        <w:t>Add Layer</w:t>
      </w:r>
      <w:r>
        <w:t xml:space="preserve"> and upload the shapefile package (zip or individual files).</w:t>
      </w:r>
    </w:p>
    <w:p>
      <w:pPr>
        <w:pStyle w:val="ListNumber"/>
      </w:pPr>
      <w:r>
        <w:t xml:space="preserve">To replace an existing layer, find it in the list, click </w:t>
      </w:r>
      <w:r>
        <w:rPr>
          <w:b/>
        </w:rPr>
        <w:t>Replace</w:t>
      </w:r>
      <w:r>
        <w:t>, and upload the new file.</w:t>
      </w:r>
    </w:p>
    <w:p>
      <w:r>
        <w:t>The UI handles file validation and ensures all mandatory companion files (</w:t>
      </w:r>
      <w:r>
        <w:rPr>
          <w:rFonts w:ascii="Courier New" w:hAnsi="Courier New"/>
          <w:color w:val="C53030"/>
          <w:sz w:val="18"/>
        </w:rPr>
        <w:t>.shx</w:t>
      </w:r>
      <w:r>
        <w:t xml:space="preserve">, </w:t>
      </w:r>
      <w:r>
        <w:rPr>
          <w:rFonts w:ascii="Courier New" w:hAnsi="Courier New"/>
          <w:color w:val="C53030"/>
          <w:sz w:val="18"/>
        </w:rPr>
        <w:t>.dbf</w:t>
      </w:r>
      <w:r>
        <w:t>, etc.) are present before accepting the upload.</w:t>
      </w:r>
    </w:p>
    <w:p>
      <w:pPr>
        <w:pStyle w:val="Heading3"/>
        <w:spacing w:before="160"/>
      </w:pPr>
      <w:r>
        <w:t>3.3 Replacement Safety Checks</w:t>
      </w:r>
    </w:p>
    <w:p>
      <w:r>
        <w:t xml:space="preserve">The </w:t>
      </w:r>
      <w:r>
        <w:rPr>
          <w:b/>
        </w:rPr>
        <w:t>Replace GIS Layer</w:t>
      </w:r>
      <w:r>
        <w:t xml:space="preserve"> workflow includes:</w:t>
      </w:r>
    </w:p>
    <w:p>
      <w:pPr>
        <w:pStyle w:val="ListBullet"/>
      </w:pPr>
      <w:r>
        <w:t xml:space="preserve">A </w:t>
      </w:r>
      <w:r>
        <w:rPr>
          <w:b/>
        </w:rPr>
        <w:t>search filter</w:t>
      </w:r>
      <w:r>
        <w:t xml:space="preserve"> for quick navigation when many layers are listed.</w:t>
      </w:r>
    </w:p>
    <w:p>
      <w:pPr>
        <w:pStyle w:val="ListBullet"/>
      </w:pPr>
      <w:r>
        <w:t xml:space="preserve">A </w:t>
      </w:r>
      <w:r>
        <w:rPr>
          <w:b/>
        </w:rPr>
        <w:t>compatibility check</w:t>
      </w:r>
      <w:r>
        <w:t xml:space="preserve"> that verifies the new file's column structure matches the existing layer definition before the replacement is finalised.</w:t>
      </w:r>
    </w:p>
    <w:p>
      <w:r>
        <w:t>If the column check fails, the upload is rejected and the existing layer is left untouched.</w:t>
      </w:r>
    </w:p>
    <w:p>
      <w:pPr>
        <w:pStyle w:val="Heading3"/>
        <w:spacing w:before="160"/>
      </w:pPr>
      <w:r>
        <w:t>3.4 Column Mapping Requirements</w:t>
      </w:r>
    </w:p>
    <w:p>
      <w:r>
        <w:t>Each layer has required column indices documented in the GIS Layers dashboard. For example: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Layer</w:t>
            </w:r>
          </w:p>
        </w:tc>
        <w:tc>
          <w:tcPr>
            <w:tcW w:type="dxa" w:w="2880"/>
            <w:shd w:val="clear" w:color="auto" w:fill="EDF2F7"/>
          </w:tcPr>
          <w:p>
            <w:r>
              <w:rPr>
                <w:b/>
                <w:sz w:val="18"/>
              </w:rPr>
            </w:r>
            <w:r>
              <w:rPr>
                <w:b/>
                <w:sz w:val="18"/>
              </w:rPr>
              <w:t>Required column</w:t>
            </w:r>
          </w:p>
        </w:tc>
        <w:tc>
          <w:tcPr>
            <w:tcW w:type="dxa" w:w="2880"/>
            <w:shd w:val="clear" w:color="auto" w:fill="EDF2F7"/>
          </w:tcPr>
          <w:p>
            <w:r>
              <w:rPr>
                <w:b/>
                <w:sz w:val="18"/>
              </w:rPr>
            </w:r>
            <w:r>
              <w:rPr>
                <w:b/>
                <w:sz w:val="18"/>
              </w:rPr>
              <w:t>Index</w:t>
            </w:r>
          </w:p>
        </w:tc>
      </w:tr>
      <w:tr>
        <w:tc>
          <w:tcPr>
            <w:tcW w:type="dxa" w:w="2880"/>
          </w:tcPr>
          <w:p>
            <w:r>
              <w:rPr>
                <w:sz w:val="18"/>
              </w:rPr>
            </w:r>
            <w:r>
              <w:rPr>
                <w:sz w:val="18"/>
              </w:rPr>
              <w:t>Area type (LU_DESC)</w:t>
            </w:r>
          </w:p>
        </w:tc>
        <w:tc>
          <w:tcPr>
            <w:tcW w:type="dxa" w:w="2880"/>
          </w:tcPr>
          <w:p>
            <w:r>
              <w:rPr>
                <w:sz w:val="18"/>
              </w:rPr>
            </w:r>
            <w:r>
              <w:rPr>
                <w:sz w:val="18"/>
              </w:rPr>
            </w:r>
            <w:r>
              <w:rPr>
                <w:rFonts w:ascii="Courier New" w:hAnsi="Courier New"/>
                <w:color w:val="C53030"/>
                <w:sz w:val="18"/>
              </w:rPr>
              <w:t>LU_DESC</w:t>
            </w:r>
            <w:r>
              <w:rPr>
                <w:sz w:val="18"/>
              </w:rPr>
            </w:r>
          </w:p>
        </w:tc>
        <w:tc>
          <w:tcPr>
            <w:tcW w:type="dxa" w:w="2880"/>
          </w:tcPr>
          <w:p>
            <w:r>
              <w:rPr>
                <w:sz w:val="18"/>
              </w:rPr>
            </w:r>
            <w:r>
              <w:rPr>
                <w:sz w:val="18"/>
              </w:rPr>
              <w:t>1</w:t>
            </w:r>
          </w:p>
        </w:tc>
      </w:tr>
      <w:tr>
        <w:tc>
          <w:tcPr>
            <w:tcW w:type="dxa" w:w="2880"/>
          </w:tcPr>
          <w:p>
            <w:r>
              <w:rPr>
                <w:sz w:val="18"/>
              </w:rPr>
            </w:r>
            <w:r>
              <w:rPr>
                <w:sz w:val="18"/>
              </w:rPr>
              <w:t>Bus stop</w:t>
            </w:r>
          </w:p>
        </w:tc>
        <w:tc>
          <w:tcPr>
            <w:tcW w:type="dxa" w:w="2880"/>
          </w:tcPr>
          <w:p>
            <w:r>
              <w:rPr>
                <w:sz w:val="18"/>
              </w:rPr>
            </w:r>
            <w:r>
              <w:rPr>
                <w:sz w:val="18"/>
              </w:rPr>
            </w:r>
            <w:r>
              <w:rPr>
                <w:rFonts w:ascii="Courier New" w:hAnsi="Courier New"/>
                <w:color w:val="C53030"/>
                <w:sz w:val="18"/>
              </w:rPr>
              <w:t>BUS_STOP_N</w:t>
            </w:r>
            <w:r>
              <w:rPr>
                <w:sz w:val="18"/>
              </w:rPr>
            </w:r>
          </w:p>
        </w:tc>
        <w:tc>
          <w:tcPr>
            <w:tcW w:type="dxa" w:w="2880"/>
          </w:tcPr>
          <w:p>
            <w:r>
              <w:rPr>
                <w:sz w:val="18"/>
              </w:rPr>
            </w:r>
            <w:r>
              <w:rPr>
                <w:sz w:val="18"/>
              </w:rPr>
              <w:t>varies</w:t>
            </w:r>
          </w:p>
        </w:tc>
      </w:tr>
    </w:tbl>
    <w:p/>
    <w:p>
      <w:r>
        <w:t>Always cross-check against the layer definition shown in the GIS Layers dashboard before uploading a replacement file. Mismatched columns will cause auto-code to produce incorrect results for attributes derived from that layer.</w:t>
      </w:r>
    </w:p>
    <w:p>
      <w:pPr>
        <w:spacing w:before="80" w:after="80"/>
        <w:ind w:left="504"/>
        <w:pBdr>
          <w:left w:val="single" w:sz="12" w:space="4" w:color="3182CE"/>
        </w:pBdr>
      </w:pPr>
      <w:r>
        <w:rPr>
          <w:i/>
          <w:color w:val="4A5568"/>
        </w:rPr>
        <w:t>For full GIS layer management instructions available to users, see [User Guide → 8. GIS Layer Management](../user/user-gis-management.md). For scoring algorithm updates, see the [Developer Guide → 6.8 Updating the CycleRAP Algorithm](../developer/scoring.md).</w:t>
      </w:r>
    </w:p>
    <w:p>
      <w:r>
        <w:br w:type="page"/>
      </w:r>
    </w:p>
    <w:p>
      <w:pPr>
        <w:pStyle w:val="Heading1"/>
        <w:spacing w:before="360"/>
      </w:pPr>
      <w:r>
        <w:t>4. Troubleshooting &amp; Health</w:t>
      </w:r>
    </w:p>
    <w:p>
      <w:r>
        <w:t>This section covers how to check system health, read logs, and diagnose common issues.</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4.1 Health Endpoints</w:t>
      </w:r>
    </w:p>
    <w:p>
      <w:r>
        <w:t>Two endpoints are available to verify the backend is responsive and models are loaded:</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Endpoint</w:t>
            </w:r>
          </w:p>
        </w:tc>
        <w:tc>
          <w:tcPr>
            <w:tcW w:type="dxa" w:w="4320"/>
            <w:shd w:val="clear" w:color="auto" w:fill="EDF2F7"/>
          </w:tcPr>
          <w:p>
            <w:r>
              <w:rPr>
                <w:b/>
                <w:sz w:val="18"/>
              </w:rPr>
            </w:r>
            <w:r>
              <w:rPr>
                <w:b/>
                <w:sz w:val="18"/>
              </w:rPr>
              <w:t>Returns</w:t>
            </w:r>
          </w:p>
        </w:tc>
      </w:tr>
      <w:tr>
        <w:tc>
          <w:tcPr>
            <w:tcW w:type="dxa" w:w="4320"/>
          </w:tcPr>
          <w:p>
            <w:r>
              <w:rPr>
                <w:sz w:val="18"/>
              </w:rPr>
            </w:r>
            <w:r>
              <w:rPr>
                <w:sz w:val="18"/>
              </w:rPr>
            </w:r>
            <w:r>
              <w:rPr>
                <w:rFonts w:ascii="Courier New" w:hAnsi="Courier New"/>
                <w:color w:val="C53030"/>
                <w:sz w:val="18"/>
              </w:rPr>
              <w:t>/api/health</w:t>
            </w:r>
            <w:r>
              <w:rPr>
                <w:sz w:val="18"/>
              </w:rPr>
            </w:r>
          </w:p>
        </w:tc>
        <w:tc>
          <w:tcPr>
            <w:tcW w:type="dxa" w:w="4320"/>
          </w:tcPr>
          <w:p>
            <w:r>
              <w:rPr>
                <w:sz w:val="18"/>
              </w:rPr>
            </w:r>
            <w:r>
              <w:rPr>
                <w:sz w:val="18"/>
              </w:rPr>
            </w:r>
            <w:r>
              <w:rPr>
                <w:rFonts w:ascii="Courier New" w:hAnsi="Courier New"/>
                <w:color w:val="C53030"/>
                <w:sz w:val="18"/>
              </w:rPr>
              <w:t>{"status": "ok"}</w:t>
            </w:r>
            <w:r>
              <w:rPr>
                <w:sz w:val="18"/>
              </w:rPr>
              <w:t xml:space="preserve"> when backend is up and models loaded</w:t>
            </w:r>
          </w:p>
        </w:tc>
      </w:tr>
      <w:tr>
        <w:tc>
          <w:tcPr>
            <w:tcW w:type="dxa" w:w="4320"/>
          </w:tcPr>
          <w:p>
            <w:r>
              <w:rPr>
                <w:sz w:val="18"/>
              </w:rPr>
            </w:r>
            <w:r>
              <w:rPr>
                <w:sz w:val="18"/>
              </w:rPr>
            </w:r>
            <w:r>
              <w:rPr>
                <w:rFonts w:ascii="Courier New" w:hAnsi="Courier New"/>
                <w:color w:val="C53030"/>
                <w:sz w:val="18"/>
              </w:rPr>
              <w:t>/api/ping</w:t>
            </w:r>
            <w:r>
              <w:rPr>
                <w:sz w:val="18"/>
              </w:rPr>
            </w:r>
          </w:p>
        </w:tc>
        <w:tc>
          <w:tcPr>
            <w:tcW w:type="dxa" w:w="4320"/>
          </w:tcPr>
          <w:p>
            <w:r>
              <w:rPr>
                <w:sz w:val="18"/>
              </w:rPr>
            </w:r>
            <w:r>
              <w:rPr>
                <w:sz w:val="18"/>
              </w:rPr>
              <w:t>Simple liveness check</w:t>
            </w:r>
          </w:p>
        </w:tc>
      </w:tr>
    </w:tbl>
    <w:p/>
    <w:p>
      <w:r>
        <w:t xml:space="preserve">Query these from a browser or </w:t>
      </w:r>
      <w:r>
        <w:rPr>
          <w:rFonts w:ascii="Courier New" w:hAnsi="Courier New"/>
          <w:color w:val="C53030"/>
          <w:sz w:val="18"/>
        </w:rPr>
        <w:t>curl</w:t>
      </w:r>
      <w:r>
        <w:t xml:space="preserve"> to confirm the service is running before investigating further.</w:t>
      </w:r>
    </w:p>
    <w:p>
      <w:pPr>
        <w:pStyle w:val="Heading3"/>
        <w:spacing w:before="160"/>
      </w:pPr>
      <w:r>
        <w:t>4.2 Reading Logs</w:t>
      </w:r>
    </w:p>
    <w:p>
      <w:r>
        <w:t>If auto-coding fails or the backend behaves unexpectedly, check the server logs:</w:t>
      </w:r>
    </w:p>
    <w:p>
      <w:pPr>
        <w:spacing w:before="80" w:after="80"/>
        <w:ind w:left="432"/>
        <w:shd w:val="clear" w:color="auto" w:fill="1A202C"/>
      </w:pPr>
      <w:r>
        <w:rPr>
          <w:rFonts w:ascii="Courier New" w:hAnsi="Courier New"/>
          <w:color w:val="F1F5F9"/>
          <w:sz w:val="18"/>
        </w:rPr>
        <w:t>docker compose logs -f backend</w:t>
      </w:r>
    </w:p>
    <w:p>
      <w:r>
        <w:t xml:space="preserve">This streams live output from the Flask backend, including full Python stack traces for any unhandled exceptions. Look for lines starting with </w:t>
      </w:r>
      <w:r>
        <w:rPr>
          <w:rFonts w:ascii="Courier New" w:hAnsi="Courier New"/>
          <w:color w:val="C53030"/>
          <w:sz w:val="18"/>
        </w:rPr>
        <w:t>ERROR</w:t>
      </w:r>
      <w:r>
        <w:t xml:space="preserve"> or </w:t>
      </w:r>
      <w:r>
        <w:rPr>
          <w:rFonts w:ascii="Courier New" w:hAnsi="Courier New"/>
          <w:color w:val="C53030"/>
          <w:sz w:val="18"/>
        </w:rPr>
        <w:t>Traceback</w:t>
      </w:r>
      <w:r>
        <w:t xml:space="preserve"> to identify the root cause.</w:t>
      </w:r>
    </w:p>
    <w:p>
      <w:r>
        <w:t>For a specific time window, use:</w:t>
      </w:r>
    </w:p>
    <w:p>
      <w:pPr>
        <w:spacing w:before="80" w:after="80"/>
        <w:ind w:left="432"/>
        <w:shd w:val="clear" w:color="auto" w:fill="1A202C"/>
      </w:pPr>
      <w:r>
        <w:rPr>
          <w:rFonts w:ascii="Courier New" w:hAnsi="Courier New"/>
          <w:color w:val="F1F5F9"/>
          <w:sz w:val="18"/>
        </w:rPr>
        <w:t>docker compose logs --since 1h backend</w:t>
      </w:r>
    </w:p>
    <w:p>
      <w:pPr>
        <w:pStyle w:val="Heading3"/>
        <w:spacing w:before="160"/>
      </w:pPr>
      <w:r>
        <w:t>4.3 Common Issues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Symptom</w:t>
            </w:r>
          </w:p>
        </w:tc>
        <w:tc>
          <w:tcPr>
            <w:tcW w:type="dxa" w:w="2880"/>
            <w:shd w:val="clear" w:color="auto" w:fill="EDF2F7"/>
          </w:tcPr>
          <w:p>
            <w:r>
              <w:rPr>
                <w:b/>
                <w:sz w:val="18"/>
              </w:rPr>
            </w:r>
            <w:r>
              <w:rPr>
                <w:b/>
                <w:sz w:val="18"/>
              </w:rPr>
              <w:t>Likely cause</w:t>
            </w:r>
          </w:p>
        </w:tc>
        <w:tc>
          <w:tcPr>
            <w:tcW w:type="dxa" w:w="2880"/>
            <w:shd w:val="clear" w:color="auto" w:fill="EDF2F7"/>
          </w:tcPr>
          <w:p>
            <w:r>
              <w:rPr>
                <w:b/>
                <w:sz w:val="18"/>
              </w:rPr>
            </w:r>
            <w:r>
              <w:rPr>
                <w:b/>
                <w:sz w:val="18"/>
              </w:rPr>
              <w:t>Fix</w:t>
            </w:r>
          </w:p>
        </w:tc>
      </w:tr>
      <w:tr>
        <w:tc>
          <w:tcPr>
            <w:tcW w:type="dxa" w:w="2880"/>
          </w:tcPr>
          <w:p>
            <w:r>
              <w:rPr>
                <w:sz w:val="18"/>
              </w:rPr>
            </w:r>
            <w:r>
              <w:rPr>
                <w:sz w:val="18"/>
              </w:rPr>
              <w:t>Auto-code returns no results</w:t>
            </w:r>
          </w:p>
        </w:tc>
        <w:tc>
          <w:tcPr>
            <w:tcW w:type="dxa" w:w="2880"/>
          </w:tcPr>
          <w:p>
            <w:r>
              <w:rPr>
                <w:sz w:val="18"/>
              </w:rPr>
            </w:r>
            <w:r>
              <w:rPr>
                <w:sz w:val="18"/>
              </w:rPr>
              <w:t>CV model failed to load</w:t>
            </w:r>
          </w:p>
        </w:tc>
        <w:tc>
          <w:tcPr>
            <w:tcW w:type="dxa" w:w="2880"/>
          </w:tcPr>
          <w:p>
            <w:r>
              <w:rPr>
                <w:sz w:val="18"/>
              </w:rPr>
            </w:r>
            <w:r>
              <w:rPr>
                <w:sz w:val="18"/>
              </w:rPr>
              <w:t xml:space="preserve">Check logs for model load errors; verify </w:t>
            </w:r>
            <w:r>
              <w:rPr>
                <w:rFonts w:ascii="Courier New" w:hAnsi="Courier New"/>
                <w:color w:val="C53030"/>
                <w:sz w:val="18"/>
              </w:rPr>
              <w:t>.pt</w:t>
            </w:r>
            <w:r>
              <w:rPr>
                <w:sz w:val="18"/>
              </w:rPr>
              <w:t xml:space="preserve"> files are present in </w:t>
            </w:r>
            <w:r>
              <w:rPr>
                <w:rFonts w:ascii="Courier New" w:hAnsi="Courier New"/>
                <w:color w:val="C53030"/>
                <w:sz w:val="18"/>
              </w:rPr>
              <w:t>backend/models/</w:t>
            </w:r>
            <w:r>
              <w:rPr>
                <w:sz w:val="18"/>
              </w:rPr>
            </w:r>
          </w:p>
        </w:tc>
      </w:tr>
      <w:tr>
        <w:tc>
          <w:tcPr>
            <w:tcW w:type="dxa" w:w="2880"/>
          </w:tcPr>
          <w:p>
            <w:r>
              <w:rPr>
                <w:sz w:val="18"/>
              </w:rPr>
            </w:r>
            <w:r>
              <w:rPr>
                <w:sz w:val="18"/>
              </w:rPr>
              <w:t>GIS attributes not updating</w:t>
            </w:r>
          </w:p>
        </w:tc>
        <w:tc>
          <w:tcPr>
            <w:tcW w:type="dxa" w:w="2880"/>
          </w:tcPr>
          <w:p>
            <w:r>
              <w:rPr>
                <w:sz w:val="18"/>
              </w:rPr>
            </w:r>
            <w:r>
              <w:rPr>
                <w:sz w:val="18"/>
              </w:rPr>
              <w:t>Shapefile missing or wrong CRS</w:t>
            </w:r>
          </w:p>
        </w:tc>
        <w:tc>
          <w:tcPr>
            <w:tcW w:type="dxa" w:w="2880"/>
          </w:tcPr>
          <w:p>
            <w:r>
              <w:rPr>
                <w:sz w:val="18"/>
              </w:rPr>
            </w:r>
            <w:r>
              <w:rPr>
                <w:sz w:val="18"/>
              </w:rPr>
              <w:t xml:space="preserve">Verify shapefile exists in </w:t>
            </w:r>
            <w:r>
              <w:rPr>
                <w:rFonts w:ascii="Courier New" w:hAnsi="Courier New"/>
                <w:color w:val="C53030"/>
                <w:sz w:val="18"/>
              </w:rPr>
              <w:t>backend/shapefiles/</w:t>
            </w:r>
            <w:r>
              <w:rPr>
                <w:sz w:val="18"/>
              </w:rPr>
              <w:t>; check it uses EPSG:4326 or EPSG:3414</w:t>
            </w:r>
          </w:p>
        </w:tc>
      </w:tr>
      <w:tr>
        <w:tc>
          <w:tcPr>
            <w:tcW w:type="dxa" w:w="2880"/>
          </w:tcPr>
          <w:p>
            <w:r>
              <w:rPr>
                <w:sz w:val="18"/>
              </w:rPr>
            </w:r>
            <w:r>
              <w:rPr>
                <w:sz w:val="18"/>
              </w:rPr>
            </w:r>
            <w:r>
              <w:rPr>
                <w:rFonts w:ascii="Courier New" w:hAnsi="Courier New"/>
                <w:color w:val="C53030"/>
                <w:sz w:val="18"/>
              </w:rPr>
              <w:t>/api/health</w:t>
            </w:r>
            <w:r>
              <w:rPr>
                <w:sz w:val="18"/>
              </w:rPr>
              <w:t xml:space="preserve"> returns 500</w:t>
            </w:r>
          </w:p>
        </w:tc>
        <w:tc>
          <w:tcPr>
            <w:tcW w:type="dxa" w:w="2880"/>
          </w:tcPr>
          <w:p>
            <w:r>
              <w:rPr>
                <w:sz w:val="18"/>
              </w:rPr>
            </w:r>
            <w:r>
              <w:rPr>
                <w:sz w:val="18"/>
              </w:rPr>
              <w:t>Backend crashed on startup</w:t>
            </w:r>
          </w:p>
        </w:tc>
        <w:tc>
          <w:tcPr>
            <w:tcW w:type="dxa" w:w="2880"/>
          </w:tcPr>
          <w:p>
            <w:r>
              <w:rPr>
                <w:sz w:val="18"/>
              </w:rPr>
            </w:r>
            <w:r>
              <w:rPr>
                <w:sz w:val="18"/>
              </w:rPr>
              <w:t xml:space="preserve">Run </w:t>
            </w:r>
            <w:r>
              <w:rPr>
                <w:rFonts w:ascii="Courier New" w:hAnsi="Courier New"/>
                <w:color w:val="C53030"/>
                <w:sz w:val="18"/>
              </w:rPr>
              <w:t>docker compose logs backend</w:t>
            </w:r>
            <w:r>
              <w:rPr>
                <w:sz w:val="18"/>
              </w:rPr>
              <w:t xml:space="preserve"> immediately after startup for the traceback</w:t>
            </w:r>
          </w:p>
        </w:tc>
      </w:tr>
      <w:tr>
        <w:tc>
          <w:tcPr>
            <w:tcW w:type="dxa" w:w="2880"/>
          </w:tcPr>
          <w:p>
            <w:r>
              <w:rPr>
                <w:sz w:val="18"/>
              </w:rPr>
            </w:r>
            <w:r>
              <w:rPr>
                <w:sz w:val="18"/>
              </w:rPr>
              <w:t>Frontend shows blank page</w:t>
            </w:r>
          </w:p>
        </w:tc>
        <w:tc>
          <w:tcPr>
            <w:tcW w:type="dxa" w:w="2880"/>
          </w:tcPr>
          <w:p>
            <w:r>
              <w:rPr>
                <w:sz w:val="18"/>
              </w:rPr>
            </w:r>
            <w:r>
              <w:rPr>
                <w:sz w:val="18"/>
              </w:rPr>
              <w:t>Build error or API unreachable</w:t>
            </w:r>
          </w:p>
        </w:tc>
        <w:tc>
          <w:tcPr>
            <w:tcW w:type="dxa" w:w="2880"/>
          </w:tcPr>
          <w:p>
            <w:r>
              <w:rPr>
                <w:sz w:val="18"/>
              </w:rPr>
            </w:r>
            <w:r>
              <w:rPr>
                <w:sz w:val="18"/>
              </w:rPr>
              <w:t>Check browser console; verify backend container is running</w:t>
            </w:r>
          </w:p>
        </w:tc>
      </w:tr>
      <w:tr>
        <w:tc>
          <w:tcPr>
            <w:tcW w:type="dxa" w:w="2880"/>
          </w:tcPr>
          <w:p>
            <w:r>
              <w:rPr>
                <w:sz w:val="18"/>
              </w:rPr>
            </w:r>
            <w:r>
              <w:rPr>
                <w:sz w:val="18"/>
              </w:rPr>
              <w:t>Segments not loading in Coding</w:t>
            </w:r>
          </w:p>
        </w:tc>
        <w:tc>
          <w:tcPr>
            <w:tcW w:type="dxa" w:w="2880"/>
          </w:tcPr>
          <w:p>
            <w:r>
              <w:rPr>
                <w:sz w:val="18"/>
              </w:rPr>
            </w:r>
            <w:r>
              <w:rPr>
                <w:sz w:val="18"/>
              </w:rPr>
              <w:t>Project metadata corrupt</w:t>
            </w:r>
          </w:p>
        </w:tc>
        <w:tc>
          <w:tcPr>
            <w:tcW w:type="dxa" w:w="2880"/>
          </w:tcPr>
          <w:p>
            <w:r>
              <w:rPr>
                <w:sz w:val="18"/>
              </w:rPr>
            </w:r>
            <w:r>
              <w:rPr>
                <w:sz w:val="18"/>
              </w:rPr>
              <w:t xml:space="preserve">Check </w:t>
            </w:r>
            <w:r>
              <w:rPr>
                <w:rFonts w:ascii="Courier New" w:hAnsi="Courier New"/>
                <w:color w:val="C53030"/>
                <w:sz w:val="18"/>
              </w:rPr>
              <w:t>profiles/&lt;slug&gt;/projects/&lt;name&gt;/project_metadata.json</w:t>
            </w:r>
            <w:r>
              <w:rPr>
                <w:sz w:val="18"/>
              </w:rPr>
              <w:t xml:space="preserve"> for invalid JSON</w:t>
            </w:r>
          </w:p>
        </w:tc>
      </w:tr>
    </w:tbl>
    <w:p/>
    <w:p>
      <w:pPr>
        <w:spacing w:before="80" w:after="80"/>
        <w:ind w:left="504"/>
        <w:pBdr>
          <w:left w:val="single" w:sz="12" w:space="4" w:color="3182CE"/>
        </w:pBdr>
      </w:pPr>
      <w:r>
        <w:rPr>
          <w:i/>
          <w:color w:val="4A5568"/>
        </w:rPr>
        <w:t>For a full troubleshooting reference covering Docker startup, model loading, `in/` folder setup, polygon road selection, and scoring issues, see the [Developer Guide → 8. Common Issues](../developer/common-issues.md).</w:t>
      </w:r>
    </w:p>
    <w:p>
      <w:r>
        <w:br w:type="page"/>
      </w:r>
    </w:p>
    <w:p>
      <w:pPr>
        <w:pStyle w:val="Heading1"/>
        <w:spacing w:before="360"/>
      </w:pPr>
      <w:r>
        <w:t>5. Updating the CycleRAP Algorithm</w:t>
      </w:r>
    </w:p>
    <w:p>
      <w:r>
        <w:t>PSAT's scoring engine is built on the CycleRAP v2.11 methodology. This section explains what to do when iRAP releases an updated version of the algorithm.</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5.1 When Updates Are Needed</w:t>
      </w:r>
    </w:p>
    <w:p>
      <w:r>
        <w:t>iRAP periodically releases updated versions of the CycleRAP risk scoring model. An update may involve:</w:t>
      </w:r>
    </w:p>
    <w:p>
      <w:pPr>
        <w:pStyle w:val="ListBullet"/>
      </w:pPr>
      <w:r>
        <w:t>New or changed attribute multipliers</w:t>
      </w:r>
    </w:p>
    <w:p>
      <w:pPr>
        <w:pStyle w:val="ListBullet"/>
      </w:pPr>
      <w:r>
        <w:t>Revised risk band thresholds</w:t>
      </w:r>
    </w:p>
    <w:p>
      <w:pPr>
        <w:pStyle w:val="ListBullet"/>
      </w:pPr>
      <w:r>
        <w:t>New crash type formulas</w:t>
      </w:r>
    </w:p>
    <w:p>
      <w:pPr>
        <w:pStyle w:val="ListBullet"/>
      </w:pPr>
      <w:r>
        <w:t>New or deprecated attributes</w:t>
      </w:r>
    </w:p>
    <w:p>
      <w:r>
        <w:t>When a new CycleRAP version is released, existing project scores calculated under the old version will differ from scores under the new version. Administrators should coordinate with the development team before upgrading to understand the impact on existing data.</w:t>
      </w:r>
    </w:p>
    <w:p>
      <w:pPr>
        <w:pStyle w:val="Heading3"/>
        <w:spacing w:before="160"/>
      </w:pPr>
      <w:r>
        <w:t>5.2 How to Request an Update</w:t>
      </w:r>
    </w:p>
    <w:p>
      <w:r>
        <w:t>Algorithm updates require changes to the backend scoring logic and are not self-service. To request an update:</w:t>
      </w:r>
    </w:p>
    <w:p>
      <w:pPr>
        <w:pStyle w:val="ListNumber"/>
      </w:pPr>
      <w:r>
        <w:t xml:space="preserve">Download the latest </w:t>
      </w:r>
      <w:r>
        <w:rPr>
          <w:b/>
        </w:rPr>
        <w:t>CycleRAP Methodology</w:t>
      </w:r>
      <w:r>
        <w:t xml:space="preserve"> PDF from irap.org/cyclerap.</w:t>
      </w:r>
    </w:p>
    <w:p>
      <w:pPr>
        <w:pStyle w:val="ListNumber"/>
      </w:pPr>
      <w:r>
        <w:t xml:space="preserve">Compare it against the version currently in use (check </w:t>
      </w:r>
      <w:r>
        <w:rPr>
          <w:rFonts w:ascii="Courier New" w:hAnsi="Courier New"/>
          <w:color w:val="C53030"/>
          <w:sz w:val="18"/>
        </w:rPr>
        <w:t>backend/app/services/cycleRAP_interface.py</w:t>
      </w:r>
      <w:r>
        <w:t xml:space="preserve"> for version references).</w:t>
      </w:r>
    </w:p>
    <w:p>
      <w:pPr>
        <w:pStyle w:val="ListNumber"/>
      </w:pPr>
      <w:r>
        <w:t>Log a request with the development team, attaching the new Methodology PDF and noting which attributes or multipliers have changed.</w:t>
      </w:r>
    </w:p>
    <w:p>
      <w:pPr>
        <w:pStyle w:val="ListNumber"/>
      </w:pPr>
      <w:r>
        <w:t>The development team will update the scoring tables, run regression tests, and deploy the new version.</w:t>
      </w:r>
    </w:p>
    <w:p>
      <w:pPr>
        <w:pStyle w:val="Heading3"/>
        <w:spacing w:before="160"/>
      </w:pPr>
      <w:r>
        <w:t>5.3 Where the Algorithm Lives in Code</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Component</w:t>
            </w:r>
          </w:p>
        </w:tc>
        <w:tc>
          <w:tcPr>
            <w:tcW w:type="dxa" w:w="4320"/>
            <w:shd w:val="clear" w:color="auto" w:fill="EDF2F7"/>
          </w:tcPr>
          <w:p>
            <w:r>
              <w:rPr>
                <w:b/>
                <w:sz w:val="18"/>
              </w:rPr>
            </w:r>
            <w:r>
              <w:rPr>
                <w:b/>
                <w:sz w:val="18"/>
              </w:rPr>
              <w:t>Location</w:t>
            </w:r>
          </w:p>
        </w:tc>
      </w:tr>
      <w:tr>
        <w:tc>
          <w:tcPr>
            <w:tcW w:type="dxa" w:w="4320"/>
          </w:tcPr>
          <w:p>
            <w:r>
              <w:rPr>
                <w:sz w:val="18"/>
              </w:rPr>
            </w:r>
            <w:r>
              <w:rPr>
                <w:sz w:val="18"/>
              </w:rPr>
              <w:t>Scoring multipliers and formulas</w:t>
            </w:r>
          </w:p>
        </w:tc>
        <w:tc>
          <w:tcPr>
            <w:tcW w:type="dxa" w:w="4320"/>
          </w:tcPr>
          <w:p>
            <w:r>
              <w:rPr>
                <w:sz w:val="18"/>
              </w:rPr>
            </w:r>
            <w:r>
              <w:rPr>
                <w:sz w:val="18"/>
              </w:rPr>
            </w:r>
            <w:r>
              <w:rPr>
                <w:rFonts w:ascii="Courier New" w:hAnsi="Courier New"/>
                <w:color w:val="C53030"/>
                <w:sz w:val="18"/>
              </w:rPr>
              <w:t>backend/app/services/cycleRAP_interface.py</w:t>
            </w:r>
            <w:r>
              <w:rPr>
                <w:sz w:val="18"/>
              </w:rPr>
            </w:r>
          </w:p>
        </w:tc>
      </w:tr>
      <w:tr>
        <w:tc>
          <w:tcPr>
            <w:tcW w:type="dxa" w:w="4320"/>
          </w:tcPr>
          <w:p>
            <w:r>
              <w:rPr>
                <w:sz w:val="18"/>
              </w:rPr>
            </w:r>
            <w:r>
              <w:rPr>
                <w:sz w:val="18"/>
              </w:rPr>
              <w:t>Risk band thresholds</w:t>
            </w:r>
          </w:p>
        </w:tc>
        <w:tc>
          <w:tcPr>
            <w:tcW w:type="dxa" w:w="4320"/>
          </w:tcPr>
          <w:p>
            <w:r>
              <w:rPr>
                <w:sz w:val="18"/>
              </w:rPr>
            </w:r>
            <w:r>
              <w:rPr>
                <w:sz w:val="18"/>
              </w:rPr>
              <w:t>Same file, band definitions section</w:t>
            </w:r>
          </w:p>
        </w:tc>
      </w:tr>
      <w:tr>
        <w:tc>
          <w:tcPr>
            <w:tcW w:type="dxa" w:w="4320"/>
          </w:tcPr>
          <w:p>
            <w:r>
              <w:rPr>
                <w:sz w:val="18"/>
              </w:rPr>
            </w:r>
            <w:r>
              <w:rPr>
                <w:sz w:val="18"/>
              </w:rPr>
              <w:t>Treatment effect mappings</w:t>
            </w:r>
          </w:p>
        </w:tc>
        <w:tc>
          <w:tcPr>
            <w:tcW w:type="dxa" w:w="4320"/>
          </w:tcPr>
          <w:p>
            <w:r>
              <w:rPr>
                <w:sz w:val="18"/>
              </w:rPr>
            </w:r>
            <w:r>
              <w:rPr>
                <w:sz w:val="18"/>
              </w:rPr>
            </w:r>
            <w:r>
              <w:rPr>
                <w:rFonts w:ascii="Courier New" w:hAnsi="Courier New"/>
                <w:color w:val="C53030"/>
                <w:sz w:val="18"/>
              </w:rPr>
              <w:t>backend/app/api/projects/routes.py</w:t>
            </w:r>
            <w:r>
              <w:rPr>
                <w:sz w:val="18"/>
              </w:rPr>
              <w:t xml:space="preserve"> (treatment triggers)</w:t>
            </w:r>
          </w:p>
        </w:tc>
      </w:tr>
    </w:tbl>
    <w:p/>
    <w:p>
      <w:pPr>
        <w:spacing w:before="80" w:after="80"/>
        <w:ind w:left="504"/>
        <w:pBdr>
          <w:left w:val="single" w:sz="12" w:space="4" w:color="3182CE"/>
        </w:pBdr>
      </w:pPr>
      <w:r>
        <w:rPr>
          <w:i/>
          <w:color w:val="4A5568"/>
        </w:rPr>
        <w:t>For full implementation details, testing procedures, and the scoring formula reference, see the [Developer Guide → 6. Scoring Logic](../developer/scoring.md).</w:t>
      </w:r>
    </w:p>
    <w:p>
      <w:r>
        <w:br w:type="page"/>
      </w:r>
    </w:p>
    <w:p>
      <w:pPr>
        <w:pStyle w:val="Heading1"/>
        <w:spacing w:before="360"/>
      </w:pPr>
      <w:r>
        <w:t>6. User Accounts &amp; Sign-In</w:t>
      </w:r>
    </w:p>
    <w:p>
      <w:r>
        <w:t>PSAT uses a local profile system. Each user creates a named profile secured by a 4–12 digit numeric PIN. Profiles and all associated projects persist on disk — users can always sign back in on the same device to access previously saved work.</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6.1 How a User Signs In</w:t>
      </w:r>
    </w:p>
    <w:p>
      <w:pPr>
        <w:pStyle w:val="ListNumber"/>
      </w:pPr>
      <w:r>
        <w:t xml:space="preserve">Open PSAT. The </w:t>
      </w:r>
      <w:r>
        <w:rPr>
          <w:b/>
        </w:rPr>
        <w:t>Landing Page</w:t>
      </w:r>
      <w:r>
        <w:t xml:space="preserve"> lists all profiles registered on this device.</w:t>
      </w:r>
    </w:p>
    <w:p>
      <w:pPr>
        <w:pStyle w:val="ListNumber"/>
      </w:pPr>
      <w:r>
        <w:t>Click the desired profile to select it (highlighted in green).</w:t>
      </w:r>
    </w:p>
    <w:p>
      <w:pPr>
        <w:pStyle w:val="ListNumber"/>
      </w:pPr>
      <w:r>
        <w:t xml:space="preserve">Click </w:t>
      </w:r>
      <w:r>
        <w:rPr>
          <w:b/>
        </w:rPr>
        <w:t>Start As \&lt;LTA Email Address\&gt;</w:t>
      </w:r>
      <w:r>
        <w:t>. A PIN prompt appears if this is not the currently active session.</w:t>
      </w:r>
    </w:p>
    <w:p>
      <w:pPr>
        <w:pStyle w:val="ListNumber"/>
      </w:pPr>
      <w:r>
        <w:t>Enter the PIN and confirm. The user is now logged in and taken to their Projects page.</w:t>
      </w:r>
    </w:p>
    <w:p>
      <w:pPr>
        <w:pStyle w:val="ListNumber"/>
      </w:pPr>
      <w:r>
        <w:t>All previously saved projects for that profile are immediately available.</w:t>
      </w:r>
    </w:p>
    <w:p>
      <w:pPr>
        <w:pStyle w:val="Heading3"/>
        <w:spacing w:before="160"/>
      </w:pPr>
      <w:r>
        <w:t>6.2 Creating a New Account</w:t>
      </w:r>
    </w:p>
    <w:p>
      <w:pPr>
        <w:pStyle w:val="ListNumber"/>
      </w:pPr>
      <w:r>
        <w:t xml:space="preserve">On the Landing Page, click </w:t>
      </w:r>
      <w:r>
        <w:rPr>
          <w:b/>
        </w:rPr>
        <w:t>Create Profile</w:t>
      </w:r>
      <w:r>
        <w:t>.</w:t>
      </w:r>
    </w:p>
    <w:p>
      <w:pPr>
        <w:pStyle w:val="ListNumber"/>
      </w:pPr>
      <w:r>
        <w:t>Enter the user's LTA Employee Email, division, and a 4–12 digit numeric PIN.</w:t>
      </w:r>
    </w:p>
    <w:p>
      <w:pPr>
        <w:pStyle w:val="ListNumber"/>
      </w:pPr>
      <w:r>
        <w:t xml:space="preserve">Click </w:t>
      </w:r>
      <w:r>
        <w:rPr>
          <w:b/>
        </w:rPr>
        <w:t>Create Profile</w:t>
      </w:r>
      <w:r>
        <w:t>. The profile is saved and the user is automatically logged in.</w:t>
      </w:r>
    </w:p>
    <w:p>
      <w:pPr>
        <w:spacing w:before="80" w:after="80"/>
        <w:ind w:left="504"/>
        <w:pBdr>
          <w:left w:val="single" w:sz="12" w:space="4" w:color="3182CE"/>
        </w:pBdr>
      </w:pPr>
      <w:r>
        <w:rPr>
          <w:i/>
          <w:color w:val="4A5568"/>
        </w:rPr>
        <w:t>Profile data (name, division, PIN hash) is stored locally in `profiles/&lt;slug&gt;/profile.json`. No external authentication server is involved.</w:t>
      </w:r>
    </w:p>
    <w:p>
      <w:pPr>
        <w:pStyle w:val="Heading3"/>
        <w:spacing w:before="160"/>
      </w:pPr>
      <w:r>
        <w:t>6.3 Switching Between Accounts</w:t>
      </w:r>
    </w:p>
    <w:p>
      <w:pPr>
        <w:pStyle w:val="ListNumber"/>
      </w:pPr>
      <w:r>
        <w:t xml:space="preserve">Click </w:t>
      </w:r>
      <w:r>
        <w:rPr>
          <w:b/>
        </w:rPr>
        <w:t>Log Out</w:t>
      </w:r>
      <w:r>
        <w:t xml:space="preserve"> in the sidebar at any time. This returns to the Landing Page.</w:t>
      </w:r>
    </w:p>
    <w:p>
      <w:pPr>
        <w:pStyle w:val="ListNumber"/>
      </w:pPr>
      <w:r>
        <w:t>Select a different profile from the list.</w:t>
      </w:r>
    </w:p>
    <w:p>
      <w:pPr>
        <w:pStyle w:val="ListNumber"/>
      </w:pPr>
      <w:r>
        <w:t>Enter that profile's PIN to sign in.</w:t>
      </w:r>
    </w:p>
    <w:p>
      <w:pPr>
        <w:pStyle w:val="Heading3"/>
        <w:spacing w:before="160"/>
      </w:pPr>
      <w:r>
        <w:t>6.4 Session Behaviour</w:t>
      </w:r>
    </w:p>
    <w:p>
      <w:pPr>
        <w:pStyle w:val="ListBullet"/>
      </w:pPr>
      <w:r>
        <w:t xml:space="preserve">The active session is </w:t>
      </w:r>
      <w:r>
        <w:rPr>
          <w:b/>
        </w:rPr>
        <w:t>device-local</w:t>
      </w:r>
      <w:r>
        <w:t>. All open browser tabs on the same device share the same active profile.</w:t>
      </w:r>
    </w:p>
    <w:p>
      <w:pPr>
        <w:pStyle w:val="ListBullet"/>
      </w:pPr>
      <w:r>
        <w:t>Logging out from one tab affects all open tabs on that device — they will redirect to the Landing Page on their next action.</w:t>
      </w:r>
    </w:p>
    <w:p>
      <w:pPr>
        <w:pStyle w:val="ListBullet"/>
      </w:pPr>
      <w:r>
        <w:t>There is no automatic session timeout. Users remain logged in until they explicitly click Log Out.</w:t>
      </w:r>
    </w:p>
    <w:p>
      <w:pPr>
        <w:pStyle w:val="ListBullet"/>
      </w:pPr>
      <w:r>
        <w:t>If a user forgets their PIN, an administrator must delete the profile folder (</w:t>
      </w:r>
      <w:r>
        <w:rPr>
          <w:rFonts w:ascii="Courier New" w:hAnsi="Courier New"/>
          <w:color w:val="C53030"/>
          <w:sz w:val="18"/>
        </w:rPr>
        <w:t>profiles/&lt;slug&gt;/</w:t>
      </w:r>
      <w:r>
        <w:t xml:space="preserve">) and have the user create a new one. </w:t>
      </w:r>
      <w:r>
        <w:rPr>
          <w:b/>
        </w:rPr>
        <w:t>There is no PIN reset mechanism</w:t>
      </w:r>
      <w:r>
        <w:t xml:space="preserve"> — deleting the folder also deletes all projects under that profile.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