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3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w:t>
      </w:r>
    </w:p>
    <w:p>
      <w:r>
        <w:t>When you open PSAT, the Landing Page lists every profile registered on this device.</w:t>
      </w:r>
    </w:p>
    <w:p>
      <w:pPr>
        <w:pStyle w:val="ListNumber"/>
      </w:pPr>
      <w:r>
        <w:t>Click your profile card — it highlights in green to show it is selected.</w:t>
      </w:r>
    </w:p>
    <w:p>
      <w:pPr>
        <w:pStyle w:val="ListNumber"/>
      </w:pPr>
      <w:r>
        <w:t xml:space="preserve">Click </w:t>
      </w:r>
      <w:r>
        <w:rPr>
          <w:b/>
        </w:rPr>
        <w:t>Start As &lt;Name&gt;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w:t>
      </w:r>
    </w:p>
    <w:p>
      <w:r>
        <w:t xml:space="preserve">To create a new profile, click </w:t>
      </w:r>
      <w:r>
        <w:rPr>
          <w:b/>
        </w:rPr>
        <w:t>Create Profile</w:t>
      </w:r>
      <w:r>
        <w:t>, enter your LTA Employee Email, Division, and a 4–12 digit numeric PIN, then click </w:t>
      </w:r>
      <w:r>
        <w:rPr>
          <w:b/>
        </w:rPr>
        <w:t>Create Profile</w:t>
      </w:r>
      <w:r>
        <w:t>.</w:t>
      </w:r>
    </w:p>
    <w:p>
      <w:r>
        <w:t xml:space="preserve">To switch accounts, click </w:t>
      </w:r>
      <w:r>
        <w:rPr>
          <w:b/>
        </w:rPr>
        <w:t>Log Out</w:t>
      </w:r>
      <w:r>
        <w:t> in the left-hand sidebar and select a different profile on the Landing Page.</w:t>
      </w:r>
    </w:p>
    <w:p>
      <w:pPr>
        <w:pBdr>
          <w:left w:val="single" w:sz="12" w:space="4" w:color="3182CE"/>
        </w:pBdr>
      </w:pPr>
      <w:r>
        <w:rPr>
          <w:i/>
          <w:color w:val="4A5568"/>
        </w:rPr>
        <w:t>For full login and account management instructions, see Section 2: User Login &amp; Account Management.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r>
        <w:t xml:space="preserve">Click </w:t>
      </w:r>
      <w:r>
        <w:rPr>
          <w:b/>
        </w:rPr>
        <w:t>View GIS Layers</w:t>
      </w:r>
      <w:r>
        <w:t xml:space="preserve"> from the sidebar to open the GIS Layers dashboard.</w:t>
      </w:r>
    </w:p>
    <w:p>
      <w:r>
        <w:t>From the GIS Layers page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Filter shapefiles</w:t>
      </w:r>
      <w:r>
        <w:t xml:space="preserve"> — type any keyword into the filter box beside the "Available Shapefiles" heading to instantly narrow the list to matching layers. This is useful when you have many layers and want to jump straight to the one you need (e.g. type </w:t>
      </w:r>
      <w:r>
        <w:rPr>
          <w:rFonts w:ascii="Courier New" w:hAnsi="Courier New"/>
          <w:color w:val="C53030"/>
          <w:sz w:val="18"/>
        </w:rPr>
        <w:t>bus</w:t>
      </w:r>
      <w:r>
        <w:t xml:space="preserve"> to surface all bus-related layers)</w:t>
      </w:r>
    </w:p>
    <w:p>
      <w:pPr>
        <w:pStyle w:val="ListBullet"/>
      </w:pPr>
      <w:r/>
      <w:r>
        <w:rPr>
          <w:b/>
        </w:rPr>
        <w:t>Rename a layer</w:t>
      </w:r>
      <w:r>
        <w:t xml:space="preserve"> — click </w:t>
      </w:r>
      <w:r>
        <w:rPr>
          <w:b/>
        </w:rPr>
        <w:t>Edit</w:t>
      </w:r>
      <w:r>
        <w:t xml:space="preserve"> next to any shapefile to give it a custom display name that is meaningful to your team. The rename takes effect immediately across the dashboard</w:t>
      </w:r>
    </w:p>
    <w:p>
      <w:pPr>
        <w:pStyle w:val="ListBullet"/>
      </w:pPr>
      <w:r/>
      <w:r>
        <w:rPr>
          <w:b/>
        </w:rPr>
        <w:t>Revert to original name</w:t>
      </w:r>
      <w:r>
        <w:t xml:space="preserve"> — if a layer has been renamed, click </w:t>
      </w:r>
      <w:r>
        <w:rPr>
          <w:b/>
        </w:rPr>
        <w:t>Revert</w:t>
      </w:r>
      <w:r>
        <w:t xml:space="preserve"> to restore its original filename at any time</w:t>
      </w:r>
    </w:p>
    <w:p>
      <w:pPr>
        <w:pStyle w:val="ListBullet"/>
      </w:pPr>
      <w:r>
        <w:t xml:space="preserve">Using the </w:t>
      </w:r>
      <w:r>
        <w:rPr>
          <w:b/>
        </w:rPr>
        <w:t>Update GIS Layer</w:t>
      </w:r>
      <w:r>
        <w:t xml:space="preserve"> button:</w:t>
      </w:r>
    </w:p>
    <w:p>
      <w:pPr>
        <w:pStyle w:val="ListBullet2"/>
      </w:pPr>
      <w:r/>
      <w:r>
        <w:rPr>
          <w:b/>
        </w:rPr>
        <w:t>Add</w:t>
      </w:r>
      <w:r>
        <w:t xml:space="preserve"> entirely new GIS layers for new categories</w:t>
      </w:r>
    </w:p>
    <w:p>
      <w:pPr>
        <w:pStyle w:val="ListBullet2"/>
      </w:pPr>
      <w:r/>
      <w:r>
        <w:rPr>
          <w:b/>
        </w:rPr>
        <w:t>Replace</w:t>
      </w:r>
      <w:r>
        <w:t xml:space="preserve"> an existing layer with an updated file</w:t>
      </w:r>
    </w:p>
    <w:p>
      <w:pPr>
        <w:pStyle w:val="ListBullet2"/>
      </w:pPr>
      <w:r/>
      <w:r>
        <w:rPr>
          <w:b/>
        </w:rPr>
        <w:t>Delete</w:t>
      </w:r>
      <w:r>
        <w:t xml:space="preserve"> a layer that is no longer needed</w:t>
      </w:r>
    </w:p>
    <w:p>
      <w:pPr>
        <w:spacing w:before="80" w:after="80"/>
        <w:ind w:left="504"/>
        <w:pBdr>
          <w:left w:val="single" w:sz="12" w:space="4" w:color="3182CE"/>
        </w:pBdr>
      </w:pPr>
      <w:r>
        <w:rPr>
          <w:i/>
          <w:color w:val="4A5568"/>
        </w:rPr>
        <w:t>For full GIS layer management instructions, see [Section 8: GIS Layer Management](#8-gis-layer-management).</w:t>
      </w:r>
    </w:p>
    <w:p>
      <w:r>
        <w:br w:type="page"/>
      </w:r>
    </w:p>
    <w:p>
      <w:pPr>
        <w:pStyle w:val="Heading1"/>
        <w:spacing w:before="360"/>
      </w:pPr>
      <w:r>
        <w:t>2. User Login &amp; Account Management</w:t>
      </w: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&amp;lt;Name&amp;gt;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click </w:t>
      </w:r>
      <w:r>
        <w:rPr>
          <w:b/>
        </w:rPr>
        <w:t>Start As &amp;lt;Name&amp;gt;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3.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3.2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3.3 Attribute Default Values</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when no urban/industrial/rural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r>
            <w:r>
              <w:rPr>
                <w:sz w:val="18"/>
              </w:rPr>
              <w:t>Sidewalk</w:t>
            </w:r>
          </w:p>
        </w:tc>
        <w:tc>
          <w:tcPr>
            <w:tcW w:type="dxa" w:w="2160"/>
          </w:tcPr>
          <w:p>
            <w:r>
              <w:rPr>
                <w:sz w:val="18"/>
              </w:rPr>
            </w:r>
            <w:r>
              <w:rPr>
                <w:sz w:val="18"/>
              </w:rPr>
              <w:t>Most common facility type</w:t>
            </w:r>
          </w:p>
        </w:tc>
      </w:tr>
      <w:tr>
        <w:tc>
          <w:tcPr>
            <w:tcW w:type="dxa" w:w="2160"/>
          </w:tcPr>
          <w:p>
            <w:r>
              <w:rPr>
                <w:sz w:val="18"/>
              </w:rPr>
            </w:r>
            <w:r>
              <w:rPr>
                <w:sz w:val="18"/>
              </w:rPr>
              <w:t>3</w:t>
            </w:r>
          </w:p>
        </w:tc>
        <w:tc>
          <w:tcPr>
            <w:tcW w:type="dxa" w:w="2160"/>
          </w:tcPr>
          <w:p>
            <w:r>
              <w:rPr>
                <w:sz w:val="18"/>
              </w:rPr>
            </w:r>
            <w:r>
              <w:rPr>
                <w:sz w:val="18"/>
              </w:rPr>
              <w:t>Adjacent Sidewalk 0–1m</w:t>
            </w:r>
          </w:p>
        </w:tc>
        <w:tc>
          <w:tcPr>
            <w:tcW w:type="dxa" w:w="2160"/>
          </w:tcPr>
          <w:p>
            <w:r>
              <w:rPr>
                <w:sz w:val="18"/>
              </w:rPr>
            </w:r>
            <w:r>
              <w:rPr>
                <w:sz w:val="18"/>
              </w:rPr>
              <w:t>Present</w:t>
            </w:r>
          </w:p>
        </w:tc>
        <w:tc>
          <w:tcPr>
            <w:tcW w:type="dxa" w:w="2160"/>
          </w:tcPr>
          <w:p>
            <w:r>
              <w:rPr>
                <w:sz w:val="18"/>
              </w:rPr>
            </w:r>
            <w:r>
              <w:rPr>
                <w:sz w:val="18"/>
              </w:rPr>
              <w:t>Assumed adjacent sidewalk in urban context</w:t>
            </w:r>
          </w:p>
        </w:tc>
      </w:tr>
      <w:tr>
        <w:tc>
          <w:tcPr>
            <w:tcW w:type="dxa" w:w="2160"/>
          </w:tcPr>
          <w:p>
            <w:r>
              <w:rPr>
                <w:sz w:val="18"/>
              </w:rPr>
            </w:r>
            <w:r>
              <w:rPr>
                <w:sz w:val="18"/>
              </w:rPr>
              <w:t>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w:t>
            </w:r>
          </w:p>
        </w:tc>
      </w:tr>
      <w:tr>
        <w:tc>
          <w:tcPr>
            <w:tcW w:type="dxa" w:w="2160"/>
          </w:tcPr>
          <w:p>
            <w:r>
              <w:rPr>
                <w:sz w:val="18"/>
              </w:rPr>
            </w:r>
            <w:r>
              <w:rPr>
                <w:sz w:val="18"/>
              </w:rPr>
              <w:t>5</w:t>
            </w:r>
          </w:p>
        </w:tc>
        <w:tc>
          <w:tcPr>
            <w:tcW w:type="dxa" w:w="2160"/>
          </w:tcPr>
          <w:p>
            <w:r>
              <w:rPr>
                <w:sz w:val="18"/>
              </w:rPr>
            </w:r>
            <w:r>
              <w:rPr>
                <w:sz w:val="18"/>
              </w:rPr>
              <w:t>Adjacent Road Lane 0–1m</w:t>
            </w:r>
          </w:p>
        </w:tc>
        <w:tc>
          <w:tcPr>
            <w:tcW w:type="dxa" w:w="2160"/>
          </w:tcPr>
          <w:p>
            <w:r>
              <w:rPr>
                <w:sz w:val="18"/>
              </w:rPr>
            </w:r>
            <w:r>
              <w:rPr>
                <w:sz w:val="18"/>
              </w:rPr>
              <w:t>See image logic</w:t>
            </w:r>
          </w:p>
        </w:tc>
        <w:tc>
          <w:tcPr>
            <w:tcW w:type="dxa" w:w="2160"/>
          </w:tcPr>
          <w:p>
            <w:r>
              <w:rPr>
                <w:sz w:val="18"/>
              </w:rPr>
            </w:r>
            <w:r>
              <w:rPr>
                <w:sz w:val="18"/>
              </w:rPr>
              <w:t>Derived from CV image analysis</w:t>
            </w:r>
          </w:p>
        </w:tc>
      </w:tr>
      <w:tr>
        <w:tc>
          <w:tcPr>
            <w:tcW w:type="dxa" w:w="2160"/>
          </w:tcPr>
          <w:p>
            <w:r>
              <w:rPr>
                <w:sz w:val="18"/>
              </w:rPr>
            </w:r>
            <w:r>
              <w:rPr>
                <w:sz w:val="18"/>
              </w:rPr>
              <w:t>6</w:t>
            </w:r>
          </w:p>
        </w:tc>
        <w:tc>
          <w:tcPr>
            <w:tcW w:type="dxa" w:w="2160"/>
          </w:tcPr>
          <w:p>
            <w:r>
              <w:rPr>
                <w:sz w:val="18"/>
              </w:rPr>
            </w:r>
            <w:r>
              <w:rPr>
                <w:sz w:val="18"/>
              </w:rPr>
              <w:t>Adjacent Road Lane 1–3m</w:t>
            </w:r>
          </w:p>
        </w:tc>
        <w:tc>
          <w:tcPr>
            <w:tcW w:type="dxa" w:w="2160"/>
          </w:tcPr>
          <w:p>
            <w:r>
              <w:rPr>
                <w:sz w:val="18"/>
              </w:rPr>
            </w:r>
            <w:r>
              <w:rPr>
                <w:sz w:val="18"/>
              </w:rPr>
              <w:t>See image logic</w:t>
            </w:r>
          </w:p>
        </w:tc>
        <w:tc>
          <w:tcPr>
            <w:tcW w:type="dxa" w:w="2160"/>
          </w:tcPr>
          <w:p>
            <w:r>
              <w:rPr>
                <w:sz w:val="18"/>
              </w:rPr>
            </w:r>
            <w:r>
              <w:rPr>
                <w:sz w:val="18"/>
              </w:rPr>
              <w:t>Derived from CV image analysis</w:t>
            </w:r>
          </w:p>
        </w:tc>
      </w:tr>
      <w:tr>
        <w:tc>
          <w:tcPr>
            <w:tcW w:type="dxa" w:w="2160"/>
          </w:tcPr>
          <w:p>
            <w:r>
              <w:rPr>
                <w:sz w:val="18"/>
              </w:rPr>
            </w:r>
            <w:r>
              <w:rPr>
                <w:sz w:val="18"/>
              </w:rPr>
              <w:t>7</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8</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9</w:t>
            </w:r>
          </w:p>
        </w:tc>
        <w:tc>
          <w:tcPr>
            <w:tcW w:type="dxa" w:w="2160"/>
          </w:tcPr>
          <w:p>
            <w:r>
              <w:rPr>
                <w:sz w:val="18"/>
              </w:rPr>
            </w:r>
            <w:r>
              <w:rPr>
                <w:sz w:val="18"/>
              </w:rPr>
              <w:t>Adjacent Object/Level Change 0–1m</w:t>
            </w:r>
          </w:p>
        </w:tc>
        <w:tc>
          <w:tcPr>
            <w:tcW w:type="dxa" w:w="2160"/>
          </w:tcPr>
          <w:p>
            <w:r>
              <w:rPr>
                <w:sz w:val="18"/>
              </w:rPr>
            </w:r>
            <w:r>
              <w:rPr>
                <w:sz w:val="18"/>
              </w:rPr>
              <w:t>Mirrors Adj. Road 0–1m</w:t>
            </w:r>
          </w:p>
        </w:tc>
        <w:tc>
          <w:tcPr>
            <w:tcW w:type="dxa" w:w="2160"/>
          </w:tcPr>
          <w:p>
            <w:r>
              <w:rPr>
                <w:sz w:val="18"/>
              </w:rPr>
            </w:r>
            <w:r>
              <w:rPr>
                <w:sz w:val="18"/>
              </w:rPr>
              <w:t>Co-occurs with adjacent road</w:t>
            </w:r>
          </w:p>
        </w:tc>
      </w:tr>
      <w:tr>
        <w:tc>
          <w:tcPr>
            <w:tcW w:type="dxa" w:w="2160"/>
          </w:tcPr>
          <w:p>
            <w:r>
              <w:rPr>
                <w:sz w:val="18"/>
              </w:rPr>
            </w:r>
            <w:r>
              <w:rPr>
                <w:sz w:val="18"/>
              </w:rPr>
              <w:t>10</w:t>
            </w:r>
          </w:p>
        </w:tc>
        <w:tc>
          <w:tcPr>
            <w:tcW w:type="dxa" w:w="2160"/>
          </w:tcPr>
          <w:p>
            <w:r>
              <w:rPr>
                <w:sz w:val="18"/>
              </w:rPr>
            </w:r>
            <w:r>
              <w:rPr>
                <w:sz w:val="18"/>
              </w:rPr>
              <w:t>Adjacent Object/Level Change 1–3m</w:t>
            </w:r>
          </w:p>
        </w:tc>
        <w:tc>
          <w:tcPr>
            <w:tcW w:type="dxa" w:w="2160"/>
          </w:tcPr>
          <w:p>
            <w:r>
              <w:rPr>
                <w:sz w:val="18"/>
              </w:rPr>
            </w:r>
            <w:r>
              <w:rPr>
                <w:sz w:val="18"/>
              </w:rPr>
              <w:t>Mirrors Adj. Road 1–3m</w:t>
            </w:r>
          </w:p>
        </w:tc>
        <w:tc>
          <w:tcPr>
            <w:tcW w:type="dxa" w:w="2160"/>
          </w:tcPr>
          <w:p>
            <w:r>
              <w:rPr>
                <w:sz w:val="18"/>
              </w:rPr>
            </w:r>
            <w:r>
              <w:rPr>
                <w:sz w:val="18"/>
              </w:rPr>
              <w:t>Co-occurs with adjacent road</w:t>
            </w:r>
          </w:p>
        </w:tc>
      </w:tr>
      <w:tr>
        <w:tc>
          <w:tcPr>
            <w:tcW w:type="dxa" w:w="2160"/>
          </w:tcPr>
          <w:p>
            <w:r>
              <w:rPr>
                <w:sz w:val="18"/>
              </w:rPr>
            </w:r>
            <w:r>
              <w:rPr>
                <w:sz w:val="18"/>
              </w:rPr>
              <w:t>11</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w:t>
            </w:r>
          </w:p>
        </w:tc>
      </w:tr>
      <w:tr>
        <w:tc>
          <w:tcPr>
            <w:tcW w:type="dxa" w:w="2160"/>
          </w:tcPr>
          <w:p>
            <w:r>
              <w:rPr>
                <w:sz w:val="18"/>
              </w:rPr>
            </w:r>
            <w:r>
              <w:rPr>
                <w:sz w:val="18"/>
              </w:rPr>
              <w:t>12</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Assumed when path is detected</w:t>
            </w:r>
          </w:p>
        </w:tc>
      </w:tr>
      <w:tr>
        <w:tc>
          <w:tcPr>
            <w:tcW w:type="dxa" w:w="2160"/>
          </w:tcPr>
          <w:p>
            <w:r>
              <w:rPr>
                <w:sz w:val="18"/>
              </w:rPr>
            </w:r>
            <w:r>
              <w:rPr>
                <w:sz w:val="18"/>
              </w:rPr>
              <w:t>13</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14</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15</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default when no width data available</w:t>
            </w:r>
          </w:p>
        </w:tc>
      </w:tr>
      <w:tr>
        <w:tc>
          <w:tcPr>
            <w:tcW w:type="dxa" w:w="2160"/>
          </w:tcPr>
          <w:p>
            <w:r>
              <w:rPr>
                <w:sz w:val="18"/>
              </w:rPr>
            </w:r>
            <w:r>
              <w:rPr>
                <w:sz w:val="18"/>
              </w:rPr>
              <w:t>16</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18</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19</w:t>
            </w:r>
          </w:p>
        </w:tc>
        <w:tc>
          <w:tcPr>
            <w:tcW w:type="dxa" w:w="2160"/>
          </w:tcPr>
          <w:p>
            <w:r>
              <w:rPr>
                <w:sz w:val="18"/>
              </w:rPr>
            </w:r>
            <w:r>
              <w:rPr>
                <w:sz w:val="18"/>
              </w:rPr>
              <w:t>Line of Sight</w:t>
            </w:r>
          </w:p>
        </w:tc>
        <w:tc>
          <w:tcPr>
            <w:tcW w:type="dxa" w:w="2160"/>
          </w:tcPr>
          <w:p>
            <w:r>
              <w:rPr>
                <w:sz w:val="18"/>
              </w:rPr>
            </w:r>
            <w:r>
              <w:rPr>
                <w:sz w:val="18"/>
              </w:rPr>
              <w:t>Not coded</w:t>
            </w:r>
          </w:p>
        </w:tc>
        <w:tc>
          <w:tcPr>
            <w:tcW w:type="dxa" w:w="2160"/>
          </w:tcPr>
          <w:p>
            <w:r>
              <w:rPr>
                <w:sz w:val="18"/>
              </w:rPr>
            </w:r>
            <w:r>
              <w:rPr>
                <w:sz w:val="18"/>
              </w:rPr>
              <w:t>Not yet in scoring specification</w:t>
            </w:r>
          </w:p>
        </w:tc>
      </w:tr>
      <w:tr>
        <w:tc>
          <w:tcPr>
            <w:tcW w:type="dxa" w:w="2160"/>
          </w:tcPr>
          <w:p>
            <w:r>
              <w:rPr>
                <w:sz w:val="18"/>
              </w:rPr>
            </w:r>
            <w:r>
              <w:rPr>
                <w:sz w:val="18"/>
              </w:rPr>
              <w:t>20</w:t>
            </w:r>
          </w:p>
        </w:tc>
        <w:tc>
          <w:tcPr>
            <w:tcW w:type="dxa" w:w="2160"/>
          </w:tcPr>
          <w:p>
            <w:r>
              <w:rPr>
                <w:sz w:val="18"/>
              </w:rPr>
            </w:r>
            <w:r>
              <w:rPr>
                <w:sz w:val="18"/>
              </w:rPr>
              <w:t>Delineation</w:t>
            </w:r>
          </w:p>
        </w:tc>
        <w:tc>
          <w:tcPr>
            <w:tcW w:type="dxa" w:w="2160"/>
          </w:tcPr>
          <w:p>
            <w:r>
              <w:rPr>
                <w:sz w:val="18"/>
              </w:rPr>
            </w:r>
            <w:r>
              <w:rPr>
                <w:sz w:val="18"/>
              </w:rPr>
              <w:t>Not Present</w:t>
            </w:r>
          </w:p>
        </w:tc>
        <w:tc>
          <w:tcPr>
            <w:tcW w:type="dxa" w:w="2160"/>
          </w:tcPr>
          <w:p>
            <w:r>
              <w:rPr>
                <w:sz w:val="18"/>
              </w:rPr>
            </w:r>
            <w:r>
              <w:rPr>
                <w:sz w:val="18"/>
              </w:rPr>
              <w:t>Default; overridden by CV if markers detected</w:t>
            </w:r>
          </w:p>
        </w:tc>
      </w:tr>
      <w:tr>
        <w:tc>
          <w:tcPr>
            <w:tcW w:type="dxa" w:w="2160"/>
          </w:tcPr>
          <w:p>
            <w:r>
              <w:rPr>
                <w:sz w:val="18"/>
              </w:rPr>
            </w:r>
            <w:r>
              <w:rPr>
                <w:sz w:val="18"/>
              </w:rPr>
              <w:t>21</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22</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23</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w:t>
            </w:r>
          </w:p>
        </w:tc>
      </w:tr>
      <w:tr>
        <w:tc>
          <w:tcPr>
            <w:tcW w:type="dxa" w:w="2160"/>
          </w:tcPr>
          <w:p>
            <w:r>
              <w:rPr>
                <w:sz w:val="18"/>
              </w:rPr>
            </w:r>
            <w:r>
              <w:rPr>
                <w:sz w:val="18"/>
              </w:rPr>
              <w:t>24</w:t>
            </w:r>
          </w:p>
        </w:tc>
        <w:tc>
          <w:tcPr>
            <w:tcW w:type="dxa" w:w="2160"/>
          </w:tcPr>
          <w:p>
            <w:r>
              <w:rPr>
                <w:sz w:val="18"/>
              </w:rPr>
            </w:r>
            <w:r>
              <w:rPr>
                <w:sz w:val="18"/>
              </w:rPr>
              <w:t>Curvature</w:t>
            </w:r>
          </w:p>
        </w:tc>
        <w:tc>
          <w:tcPr>
            <w:tcW w:type="dxa" w:w="2160"/>
          </w:tcPr>
          <w:p>
            <w:r>
              <w:rPr>
                <w:sz w:val="18"/>
              </w:rPr>
            </w:r>
            <w:r>
              <w:rPr>
                <w:sz w:val="18"/>
              </w:rPr>
              <w:t>No Sharp Turn</w:t>
            </w:r>
          </w:p>
        </w:tc>
        <w:tc>
          <w:tcPr>
            <w:tcW w:type="dxa" w:w="2160"/>
          </w:tcPr>
          <w:p>
            <w:r>
              <w:rPr>
                <w:sz w:val="18"/>
              </w:rPr>
            </w:r>
            <w:r>
              <w:rPr>
                <w:sz w:val="18"/>
              </w:rPr>
              <w:t>Most common</w:t>
            </w:r>
          </w:p>
        </w:tc>
      </w:tr>
      <w:tr>
        <w:tc>
          <w:tcPr>
            <w:tcW w:type="dxa" w:w="2160"/>
          </w:tcPr>
          <w:p>
            <w:r>
              <w:rPr>
                <w:sz w:val="18"/>
              </w:rPr>
            </w:r>
            <w:r>
              <w:rPr>
                <w:sz w:val="18"/>
              </w:rPr>
              <w:t>25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26</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have lighting</w:t>
            </w:r>
          </w:p>
        </w:tc>
      </w:tr>
      <w:tr>
        <w:tc>
          <w:tcPr>
            <w:tcW w:type="dxa" w:w="2160"/>
          </w:tcPr>
          <w:p>
            <w:r>
              <w:rPr>
                <w:sz w:val="18"/>
              </w:rPr>
            </w:r>
            <w:r>
              <w:rPr>
                <w:sz w:val="18"/>
              </w:rPr>
              <w:t>27</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common</w:t>
            </w:r>
          </w:p>
        </w:tc>
      </w:tr>
      <w:tr>
        <w:tc>
          <w:tcPr>
            <w:tcW w:type="dxa" w:w="2160"/>
          </w:tcPr>
          <w:p>
            <w:r>
              <w:rPr>
                <w:sz w:val="18"/>
              </w:rPr>
            </w:r>
            <w:r>
              <w:rPr>
                <w:sz w:val="18"/>
              </w:rPr>
              <w:t>28</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29</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Default; overridden by CV</w:t>
            </w:r>
          </w:p>
        </w:tc>
      </w:tr>
      <w:tr>
        <w:tc>
          <w:tcPr>
            <w:tcW w:type="dxa" w:w="2160"/>
          </w:tcPr>
          <w:p>
            <w:r>
              <w:rPr>
                <w:sz w:val="18"/>
              </w:rPr>
            </w:r>
            <w:r>
              <w:rPr>
                <w:sz w:val="18"/>
              </w:rPr>
              <w:t>30</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31</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32</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1 per Direction/NA</w:t>
            </w:r>
          </w:p>
        </w:tc>
        <w:tc>
          <w:tcPr>
            <w:tcW w:type="dxa" w:w="2160"/>
          </w:tcPr>
          <w:p>
            <w:r>
              <w:rPr>
                <w:sz w:val="18"/>
              </w:rPr>
            </w:r>
            <w:r>
              <w:rPr>
                <w:sz w:val="18"/>
              </w:rPr>
              <w:t>Most common</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from image logic</w:t>
            </w:r>
          </w:p>
        </w:tc>
      </w:tr>
      <w:tr>
        <w:tc>
          <w:tcPr>
            <w:tcW w:type="dxa" w:w="2160"/>
          </w:tcPr>
          <w:p>
            <w:r>
              <w:rPr>
                <w:sz w:val="18"/>
              </w:rPr>
            </w:r>
            <w:r>
              <w:rPr>
                <w:sz w:val="18"/>
              </w:rPr>
              <w:t>35</w:t>
            </w:r>
          </w:p>
        </w:tc>
        <w:tc>
          <w:tcPr>
            <w:tcW w:type="dxa" w:w="2160"/>
          </w:tcPr>
          <w:p>
            <w:r>
              <w:rPr>
                <w:sz w:val="18"/>
              </w:rPr>
            </w:r>
            <w:r>
              <w:rPr>
                <w:sz w:val="18"/>
              </w:rPr>
              <w:t>Flow Direction</w:t>
            </w:r>
          </w:p>
        </w:tc>
        <w:tc>
          <w:tcPr>
            <w:tcW w:type="dxa" w:w="2160"/>
          </w:tcPr>
          <w:p>
            <w:r>
              <w:rPr>
                <w:sz w:val="18"/>
              </w:rPr>
            </w:r>
            <w:r>
              <w:rPr>
                <w:sz w:val="18"/>
              </w:rPr>
              <w:t>One Way</w:t>
            </w:r>
          </w:p>
        </w:tc>
        <w:tc>
          <w:tcPr>
            <w:tcW w:type="dxa" w:w="2160"/>
          </w:tcPr>
          <w:p>
            <w:r>
              <w:rPr>
                <w:sz w:val="18"/>
              </w:rPr>
            </w:r>
            <w:r>
              <w:rPr>
                <w:sz w:val="18"/>
              </w:rPr>
              <w:t>Most common for Singapore paths</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Low</w:t>
            </w:r>
          </w:p>
        </w:tc>
        <w:tc>
          <w:tcPr>
            <w:tcW w:type="dxa" w:w="2160"/>
          </w:tcPr>
          <w:p>
            <w:r>
              <w:rPr>
                <w:sz w:val="18"/>
              </w:rPr>
            </w:r>
            <w:r>
              <w:rPr>
                <w:sz w:val="18"/>
              </w:rPr>
              <w:t>GIS-derived; default when no count data</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default when no count data</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w:t>
            </w:r>
          </w:p>
        </w:tc>
      </w:tr>
      <w:tr>
        <w:tc>
          <w:tcPr>
            <w:tcW w:type="dxa" w:w="2160"/>
          </w:tcPr>
          <w:p>
            <w:r>
              <w:rPr>
                <w:sz w:val="18"/>
              </w:rPr>
            </w:r>
            <w:r>
              <w:rPr>
                <w:sz w:val="18"/>
              </w:rPr>
              <w:t>39</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away from heavy traffic</w:t>
            </w:r>
          </w:p>
        </w:tc>
      </w:tr>
      <w:tr>
        <w:tc>
          <w:tcPr>
            <w:tcW w:type="dxa" w:w="2160"/>
          </w:tcPr>
          <w:p>
            <w:r>
              <w:rPr>
                <w:sz w:val="18"/>
              </w:rPr>
            </w:r>
            <w:r>
              <w:rPr>
                <w:sz w:val="18"/>
              </w:rPr>
              <w:t>40</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w:t>
            </w:r>
          </w:p>
        </w:tc>
      </w:tr>
      <w:tr>
        <w:tc>
          <w:tcPr>
            <w:tcW w:type="dxa" w:w="2160"/>
          </w:tcPr>
          <w:p>
            <w:r>
              <w:rPr>
                <w:sz w:val="18"/>
              </w:rPr>
            </w:r>
            <w:r>
              <w:rPr>
                <w:sz w:val="18"/>
              </w:rPr>
              <w:t>41</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w:t>
            </w:r>
          </w:p>
        </w:tc>
      </w:tr>
      <w:tr>
        <w:tc>
          <w:tcPr>
            <w:tcW w:type="dxa" w:w="2160"/>
          </w:tcPr>
          <w:p>
            <w:r>
              <w:rPr>
                <w:sz w:val="18"/>
              </w:rPr>
            </w:r>
            <w:r>
              <w:rPr>
                <w:sz w:val="18"/>
              </w:rPr>
              <w:t>42</w:t>
            </w:r>
          </w:p>
        </w:tc>
        <w:tc>
          <w:tcPr>
            <w:tcW w:type="dxa" w:w="2160"/>
          </w:tcPr>
          <w:p>
            <w:r>
              <w:rPr>
                <w:sz w:val="18"/>
              </w:rPr>
            </w:r>
            <w:r>
              <w:rPr>
                <w:sz w:val="18"/>
              </w:rPr>
              <w:t>Road AADT</w:t>
            </w:r>
          </w:p>
        </w:tc>
        <w:tc>
          <w:tcPr>
            <w:tcW w:type="dxa" w:w="2160"/>
          </w:tcPr>
          <w:p>
            <w:r>
              <w:rPr>
                <w:sz w:val="18"/>
              </w:rPr>
            </w:r>
            <w:r>
              <w:rPr>
                <w:sz w:val="18"/>
              </w:rPr>
              <w:t>—</w:t>
            </w:r>
          </w:p>
        </w:tc>
        <w:tc>
          <w:tcPr>
            <w:tcW w:type="dxa" w:w="2160"/>
          </w:tcPr>
          <w:p>
            <w:r>
              <w:rPr>
                <w:sz w:val="18"/>
              </w:rPr>
            </w:r>
            <w:r>
              <w:rPr>
                <w:sz w:val="18"/>
              </w:rPr>
              <w:t>Must be coded manually; no GIS auto-code path</w:t>
            </w:r>
          </w:p>
        </w:tc>
      </w:tr>
      <w:tr>
        <w:tc>
          <w:tcPr>
            <w:tcW w:type="dxa" w:w="2160"/>
          </w:tcPr>
          <w:p>
            <w:r>
              <w:rPr>
                <w:sz w:val="18"/>
              </w:rPr>
            </w:r>
            <w:r>
              <w:rPr>
                <w:sz w:val="18"/>
              </w:rPr>
              <w:t>43</w:t>
            </w:r>
          </w:p>
        </w:tc>
        <w:tc>
          <w:tcPr>
            <w:tcW w:type="dxa" w:w="2160"/>
          </w:tcPr>
          <w:p>
            <w:r>
              <w:rPr>
                <w:sz w:val="18"/>
              </w:rPr>
            </w:r>
            <w:r>
              <w:rPr>
                <w:sz w:val="18"/>
              </w:rPr>
              <w:t>Road Operating Speed (mean)</w:t>
            </w:r>
          </w:p>
        </w:tc>
        <w:tc>
          <w:tcPr>
            <w:tcW w:type="dxa" w:w="2160"/>
          </w:tcPr>
          <w:p>
            <w:r>
              <w:rPr>
                <w:sz w:val="18"/>
              </w:rPr>
            </w:r>
            <w:r>
              <w:rPr>
                <w:sz w:val="18"/>
              </w:rPr>
              <w:t>—</w:t>
            </w:r>
          </w:p>
        </w:tc>
        <w:tc>
          <w:tcPr>
            <w:tcW w:type="dxa" w:w="2160"/>
          </w:tcPr>
          <w:p>
            <w:r>
              <w:rPr>
                <w:sz w:val="18"/>
              </w:rPr>
            </w:r>
            <w:r>
              <w:rPr>
                <w:sz w:val="18"/>
              </w:rPr>
              <w:t>GIS-derived from LinkID layer</w:t>
            </w:r>
          </w:p>
        </w:tc>
      </w:tr>
      <w:tr>
        <w:tc>
          <w:tcPr>
            <w:tcW w:type="dxa" w:w="2160"/>
          </w:tcPr>
          <w:p>
            <w:r>
              <w:rPr>
                <w:sz w:val="18"/>
              </w:rPr>
            </w:r>
            <w:r>
              <w:rPr>
                <w:sz w:val="18"/>
              </w:rPr>
              <w:t>44</w:t>
            </w:r>
          </w:p>
        </w:tc>
        <w:tc>
          <w:tcPr>
            <w:tcW w:type="dxa" w:w="2160"/>
          </w:tcPr>
          <w:p>
            <w:r>
              <w:rPr>
                <w:sz w:val="18"/>
              </w:rPr>
            </w:r>
            <w:r>
              <w:rPr>
                <w:sz w:val="18"/>
              </w:rPr>
              <w:t>Road Speed Limit</w:t>
            </w:r>
          </w:p>
        </w:tc>
        <w:tc>
          <w:tcPr>
            <w:tcW w:type="dxa" w:w="2160"/>
          </w:tcPr>
          <w:p>
            <w:r>
              <w:rPr>
                <w:sz w:val="18"/>
              </w:rPr>
            </w:r>
            <w:r>
              <w:rPr>
                <w:sz w:val="18"/>
              </w:rPr>
              <w:t>—</w:t>
            </w:r>
          </w:p>
        </w:tc>
        <w:tc>
          <w:tcPr>
            <w:tcW w:type="dxa" w:w="2160"/>
          </w:tcPr>
          <w:p>
            <w:r>
              <w:rPr>
                <w:sz w:val="18"/>
              </w:rPr>
            </w:r>
            <w:r>
              <w:rPr>
                <w:sz w:val="18"/>
              </w:rPr>
              <w:t>GIS-derived from speed limit layer</w:t>
            </w:r>
          </w:p>
        </w:tc>
      </w:tr>
    </w:tbl>
    <w:p/>
    <w:p>
      <w:pPr>
        <w:pStyle w:val="Heading3"/>
        <w:spacing w:before="160"/>
      </w:pPr>
      <w:r>
        <w:t>3.4 Auto-Code Options</w:t>
      </w:r>
    </w:p>
    <w:p>
      <w:r>
        <w:t>PSAT supports five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
        <w:rPr>
          <w:b/>
        </w:rPr>
        <w:t>Bulk auto-code</w:t>
      </w:r>
      <w:r>
        <w:t xml:space="preserve"> — runs across all selected rows or the full project</w:t>
      </w:r>
    </w:p>
    <w:p>
      <w:pPr>
        <w:pStyle w:val="ListBullet"/>
      </w:pPr>
      <w:r/>
      <w:r>
        <w:rPr>
          <w:b/>
        </w:rPr>
        <w:t>Per-attribute auto-code</w:t>
      </w:r>
      <w:r>
        <w:t xml:space="preserve"> — targets only certain attributes</w:t>
      </w:r>
    </w:p>
    <w:p>
      <w:r>
        <w:t xml:space="preserve">Autocode progress is tracked in the project listing as </w:t>
      </w:r>
      <w:r>
        <w:rPr>
          <w:b/>
        </w:rPr>
        <w:t>Percentage Segments Autocoded</w:t>
      </w:r>
      <w:r>
        <w:t>.</w:t>
      </w:r>
    </w:p>
    <w:p>
      <w:pPr>
        <w:pStyle w:val="Heading4"/>
      </w:pPr>
      <w:r>
        <w:t>3.4.1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 = non-fixed)</w:t>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3.4.2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3.4.3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3.5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3.6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3.7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3.8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3.9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r>
        <w:br w:type="page"/>
      </w:r>
    </w:p>
    <w:p>
      <w:pPr>
        <w:pStyle w:val="Heading2"/>
        <w:spacing w:before="240"/>
      </w:pPr>
      <w:r>
        <w:t>4.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4.2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4.3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4.4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5.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5.1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5.2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5.3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5.3.1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Major Surface Deformation or Drain Opening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5.3.2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5.4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5.5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5.6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6.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loaded more than one project) — click a tab to jump to the first segment of that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project-wide risk band distribution before and after your treatments.</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r>
        <w:t xml:space="preserve">As soon as you tick a treatment, the </w:t>
      </w:r>
      <w:r>
        <w:rPr>
          <w:b/>
        </w:rPr>
        <w:t>Scores card</w:t>
      </w:r>
      <w:r>
        <w:t xml:space="preserve"> on the right will show a </w:t>
      </w:r>
      <w:r>
        <w:rPr>
          <w:b/>
        </w:rPr>
        <w:t>live preview</w:t>
      </w:r>
      <w:r>
        <w:t xml:space="preserve"> of what the risk scores would look like if you applied those treatments to the current segment. The preview updates automatically whenever you change your selection — you do not need to click anything to trigger it.</w:t>
      </w:r>
    </w:p>
    <w:p>
      <w:r>
        <w:t xml:space="preserve">The attributes panel also has a </w:t>
      </w:r>
      <w:r>
        <w:rPr>
          <w:b/>
        </w:rPr>
        <w:t>Show Post-Treatment</w:t>
      </w:r>
      <w:r>
        <w:t xml:space="preserve"> toggle. Switch this on to see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6.10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r>
        <w:t xml:space="preserve">Tick any treatment checkbox to see the </w:t>
      </w:r>
      <w:r>
        <w:rPr>
          <w:b/>
        </w:rPr>
        <w:t>live score preview</w:t>
      </w:r>
      <w:r>
        <w:t xml:space="preserve"> for the current segment. The scores update automatically as you change your selection — you do not need to click Apply.</w:t>
      </w:r>
    </w:p>
    <w:p>
      <w:r>
        <w:t xml:space="preserve">Toggle </w:t>
      </w:r>
      <w:r>
        <w:rPr>
          <w:b/>
        </w:rPr>
        <w:t>Show Post-Treatment</w:t>
      </w:r>
      <w:r>
        <w:t xml:space="preserve"> in the Attributes panel to see exactly which attribute values would change.</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7.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8.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8.1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8.6)</w:t>
      </w:r>
    </w:p>
    <w:p>
      <w:pPr>
        <w:pStyle w:val="ListBullet"/>
      </w:pPr>
      <w:r/>
      <w:r>
        <w:rPr>
          <w:b/>
        </w:rPr>
        <w:t>Rename</w:t>
      </w:r>
      <w:r>
        <w:t xml:space="preserve"> any layer to a custom display name or </w:t>
      </w:r>
      <w:r>
        <w:rPr>
          <w:b/>
        </w:rPr>
        <w:t>revert</w:t>
      </w:r>
      <w:r>
        <w:t xml:space="preserve"> it back to its original name (see Sections 8.7 and 8.8)</w:t>
      </w:r>
    </w:p>
    <w:p>
      <w:pPr>
        <w:pStyle w:val="Heading2"/>
        <w:spacing w:before="240"/>
      </w:pPr>
      <w:r>
        <w:t>8.2 All GIS Layers in PSAT</w:t>
      </w:r>
    </w:p>
    <w:p>
      <w:r>
        <w:t>The table below lists all GIS layers currently defined in PSAT, the PSAT attribute they affect, and the required columns: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area_type</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rural</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recreation</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Mrt_exit</w:t>
            </w:r>
            <w:r>
              <w:rPr>
                <w:sz w:val="18"/>
              </w:rPr>
            </w:r>
          </w:p>
        </w:tc>
        <w:tc>
          <w:tcPr>
            <w:tcW w:type="dxa" w:w="1728"/>
          </w:tcPr>
          <w:p>
            <w:r>
              <w:rPr>
                <w:sz w:val="18"/>
              </w:rPr>
            </w:r>
            <w:r>
              <w:rPr>
                <w:sz w:val="18"/>
              </w:rPr>
              <w:t>Transit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bus_stop</w:t>
            </w:r>
            <w:r>
              <w:rPr>
                <w:sz w:val="18"/>
              </w:rPr>
            </w:r>
          </w:p>
        </w:tc>
        <w:tc>
          <w:tcPr>
            <w:tcW w:type="dxa" w:w="1728"/>
          </w:tcPr>
          <w:p>
            <w:r>
              <w:rPr>
                <w:sz w:val="18"/>
              </w:rPr>
            </w:r>
            <w:r>
              <w:rPr>
                <w:sz w:val="18"/>
              </w:rPr>
              <w:t>Transit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bus_lane</w:t>
            </w:r>
            <w:r>
              <w:rPr>
                <w:sz w:val="18"/>
              </w:rPr>
            </w:r>
          </w:p>
        </w:tc>
        <w:tc>
          <w:tcPr>
            <w:tcW w:type="dxa" w:w="1728"/>
          </w:tcPr>
          <w:p>
            <w:r>
              <w:rPr>
                <w:sz w:val="18"/>
              </w:rPr>
            </w:r>
            <w:r>
              <w:rPr>
                <w:sz w:val="18"/>
              </w:rPr>
              <w:t>Traffic</w:t>
            </w:r>
          </w:p>
        </w:tc>
        <w:tc>
          <w:tcPr>
            <w:tcW w:type="dxa" w:w="1728"/>
          </w:tcPr>
          <w:p>
            <w:r>
              <w:rPr>
                <w:sz w:val="18"/>
              </w:rPr>
            </w:r>
            <w:r>
              <w:rPr>
                <w:sz w:val="18"/>
              </w:rPr>
              <w:t>LineString</w:t>
            </w:r>
          </w:p>
        </w:tc>
        <w:tc>
          <w:tcPr>
            <w:tcW w:type="dxa" w:w="1728"/>
          </w:tcPr>
          <w:p>
            <w:r>
              <w:rPr>
                <w:sz w:val="18"/>
              </w:rPr>
            </w:r>
            <w:r>
              <w:rPr>
                <w:sz w:val="18"/>
              </w:rPr>
              <w:t>Heavy Vehicle Flow</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parking_lot</w:t>
            </w:r>
            <w:r>
              <w:rPr>
                <w:sz w:val="18"/>
              </w:rPr>
            </w:r>
          </w:p>
        </w:tc>
        <w:tc>
          <w:tcPr>
            <w:tcW w:type="dxa" w:w="1728"/>
          </w:tcPr>
          <w:p>
            <w:r>
              <w:rPr>
                <w:sz w:val="18"/>
              </w:rPr>
            </w:r>
            <w:r>
              <w:rPr>
                <w:sz w:val="18"/>
              </w:rPr>
              <w:t>Parking</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r>
        <w:tc>
          <w:tcPr>
            <w:tcW w:type="dxa" w:w="1728"/>
          </w:tcPr>
          <w:p>
            <w:r>
              <w:rPr>
                <w:sz w:val="18"/>
              </w:rPr>
            </w:r>
            <w:r>
              <w:rPr>
                <w:sz w:val="18"/>
              </w:rPr>
            </w:r>
            <w:r>
              <w:rPr>
                <w:rFonts w:ascii="Courier New" w:hAnsi="Courier New"/>
                <w:color w:val="C53030"/>
                <w:sz w:val="18"/>
              </w:rPr>
              <w:t>roadcrossinglayer</w:t>
            </w:r>
            <w:r>
              <w:rPr>
                <w:sz w:val="18"/>
              </w:rPr>
            </w:r>
          </w:p>
        </w:tc>
        <w:tc>
          <w:tcPr>
            <w:tcW w:type="dxa" w:w="1728"/>
          </w:tcPr>
          <w:p>
            <w:r>
              <w:rPr>
                <w:sz w:val="18"/>
              </w:rPr>
            </w:r>
            <w:r>
              <w:rPr>
                <w:sz w:val="18"/>
              </w:rPr>
              <w:t>Crossings</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AMG_BC2025_shp</w:t>
            </w:r>
            <w:r>
              <w:rPr>
                <w:sz w:val="18"/>
              </w:rPr>
            </w:r>
          </w:p>
        </w:tc>
        <w:tc>
          <w:tcPr>
            <w:tcW w:type="dxa" w:w="1728"/>
          </w:tcPr>
          <w:p>
            <w:r>
              <w:rPr>
                <w:sz w:val="18"/>
              </w:rPr>
            </w:r>
            <w:r>
              <w:rPr>
                <w:sz w:val="18"/>
              </w:rPr>
              <w:t>Crossings</w:t>
            </w:r>
          </w:p>
        </w:tc>
        <w:tc>
          <w:tcPr>
            <w:tcW w:type="dxa" w:w="1728"/>
          </w:tcPr>
          <w:p>
            <w:r>
              <w:rPr>
                <w:sz w:val="18"/>
              </w:rPr>
            </w:r>
            <w:r>
              <w:rPr>
                <w:sz w:val="18"/>
              </w:rPr>
              <w:t>LineString / Point</w:t>
            </w:r>
          </w:p>
        </w:tc>
        <w:tc>
          <w:tcPr>
            <w:tcW w:type="dxa" w:w="1728"/>
          </w:tcPr>
          <w:p>
            <w:r>
              <w:rPr>
                <w:sz w:val="18"/>
              </w:rPr>
            </w:r>
            <w:r>
              <w:rPr>
                <w:sz w:val="18"/>
              </w:rPr>
              <w:t>Intersection or Road Crossing, Crossing Facility</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cycling_path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shared_path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CyclingPath_Jul2024</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path_width (1)</w:t>
            </w:r>
            <w:r>
              <w:rPr>
                <w:sz w:val="18"/>
              </w:rPr>
              <w:t xml:space="preserve">, </w:t>
            </w:r>
            <w:r>
              <w:rPr>
                <w:rFonts w:ascii="Courier New" w:hAnsi="Courier New"/>
                <w:color w:val="C53030"/>
                <w:sz w:val="18"/>
              </w:rPr>
              <w:t>path_type (2)</w:t>
            </w:r>
            <w:r>
              <w:rPr>
                <w:sz w:val="18"/>
              </w:rPr>
            </w:r>
          </w:p>
        </w:tc>
      </w:tr>
      <w:tr>
        <w:tc>
          <w:tcPr>
            <w:tcW w:type="dxa" w:w="1728"/>
          </w:tcPr>
          <w:p>
            <w:r>
              <w:rPr>
                <w:sz w:val="18"/>
              </w:rPr>
            </w:r>
            <w:r>
              <w:rPr>
                <w:sz w:val="18"/>
              </w:rPr>
            </w:r>
            <w:r>
              <w:rPr>
                <w:rFonts w:ascii="Courier New" w:hAnsi="Courier New"/>
                <w:color w:val="C53030"/>
                <w:sz w:val="18"/>
              </w:rPr>
              <w:t>FootPath_Mar2025</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LinkID_Shape_File</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Speed_limit</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kerb_line</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AMGbeforeCount</w:t>
            </w:r>
            <w:r>
              <w:rPr>
                <w:sz w:val="18"/>
              </w:rPr>
            </w:r>
          </w:p>
        </w:tc>
        <w:tc>
          <w:tcPr>
            <w:tcW w:type="dxa" w:w="1728"/>
          </w:tcPr>
          <w:p>
            <w:r>
              <w:rPr>
                <w:sz w:val="18"/>
              </w:rPr>
            </w:r>
            <w:r>
              <w:rPr>
                <w:sz w:val="18"/>
              </w:rPr>
              <w:t>Flow Data</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w:t>
            </w:r>
            <w:r>
              <w:rPr>
                <w:sz w:val="18"/>
              </w:rPr>
            </w:r>
          </w:p>
        </w:tc>
        <w:tc>
          <w:tcPr>
            <w:tcW w:type="dxa" w:w="1728"/>
          </w:tcPr>
          <w:p>
            <w:r>
              <w:rPr>
                <w:sz w:val="18"/>
              </w:rPr>
            </w:r>
            <w:r>
              <w:rPr>
                <w:sz w:val="18"/>
              </w:rPr>
              <w:t>Flow Data</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Planning_area</w:t>
            </w:r>
            <w:r>
              <w:rPr>
                <w:sz w:val="18"/>
              </w:rPr>
            </w:r>
          </w:p>
        </w:tc>
        <w:tc>
          <w:tcPr>
            <w:tcW w:type="dxa" w:w="1728"/>
          </w:tcPr>
          <w:p>
            <w:r>
              <w:rPr>
                <w:sz w:val="18"/>
              </w:rPr>
            </w:r>
            <w:r>
              <w:rPr>
                <w:sz w:val="18"/>
              </w:rPr>
              <w:t>Reference</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Road_name</w:t>
            </w:r>
            <w:r>
              <w:rPr>
                <w:sz w:val="18"/>
              </w:rPr>
            </w:r>
          </w:p>
        </w:tc>
        <w:tc>
          <w:tcPr>
            <w:tcW w:type="dxa" w:w="1728"/>
          </w:tcPr>
          <w:p>
            <w:r>
              <w:rPr>
                <w:sz w:val="18"/>
              </w:rPr>
            </w:r>
            <w:r>
              <w:rPr>
                <w:sz w:val="18"/>
              </w:rPr>
              <w:t>Reference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RD_TYP_CD (1)</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8.3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8.4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8.5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8.6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8.7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8.8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