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r>
        <w:rPr>
          <w:b/>
          <w:i/>
        </w:rPr>
        <w:t>New in 2026-07-02 — the v2 interface is now the default.</w:t>
      </w:r>
      <w:r>
        <w:rPr>
          <w:b w:val="0"/>
          <w:i/>
        </w:rPr>
        <w:t xml:space="preserve"> The Home, Create Project, Coding, Path Analysis, Treatment Application, User Guide, and GIS Layers pages all open in the redesigned </w:t>
      </w:r>
      <w:r>
        <w:rPr>
          <w:b/>
          <w:i/>
        </w:rPr>
        <w:t>v2</w:t>
      </w:r>
      <w:r>
        <w:rPr>
          <w:b w:val="0"/>
          <w:i/>
        </w:rPr>
        <w:t xml:space="preserve"> layout by default. This guide describes the app as it appears in v2 unless a section says otherwise. If a page still shows the older layout, or you want to compare, add ?ui=v1 to the page's URL (?ui=v2 switches back) — your choice is remembered on this device until you change it again. The </w:t>
      </w:r>
      <w:r>
        <w:rPr>
          <w:b/>
          <w:i/>
        </w:rPr>
        <w:t>Report Builder</w:t>
      </w:r>
      <w:r>
        <w:rPr>
          <w:b w:val="0"/>
          <w:i/>
        </w:rPr>
        <w:t xml:space="preserve"> and </w:t>
      </w:r>
      <w:r>
        <w:rPr>
          <w:b/>
          <w:i/>
        </w:rPr>
        <w:t>Generated Reports</w:t>
      </w:r>
      <w:r>
        <w:rPr>
          <w:b w:val="0"/>
          <w:i/>
        </w:rPr>
        <w:t xml:space="preserve"> pages keep their existing v1 layout for now, with only minor visual touch-ups applied (see Section 5: Report Generation); the </w:t>
      </w:r>
      <w:r>
        <w:rPr>
          <w:b/>
          <w:i/>
        </w:rPr>
        <w:t>Landing (login) page</w:t>
      </w:r>
      <w:r>
        <w:rPr>
          <w:b w:val="0"/>
          <w:i/>
        </w:rPr>
        <w:t>'s branded look is unchanged aside from its profile pop-ups (see Section 1.2).</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pPr/>
      <w:r>
        <w:rPr>
          <w:b/>
          <w:i/>
        </w:rPr>
        <w:t>v2 layout:</w:t>
      </w:r>
      <w:r>
        <w:rPr>
          <w:b w:val="0"/>
          <w:i/>
        </w:rPr>
        <w:t xml:space="preserve"> The Help page itself was redesigned for v2 — a single unified canvas with the three guides as tab pills at the top, a slim left-hand section list showing only a “Last updated” caption instead of a date on every entry, and the standard v2 sidebar down the left of the screen. The content and structure of each guide are unchanged.</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pPr/>
      <w:r>
        <w:rPr>
          <w:b/>
          <w:i/>
        </w:rPr>
        <w:t>What's new in v2 (2026-07-07):</w:t>
      </w:r>
      <w:r>
        <w:rPr>
          <w:b w:val="0"/>
          <w:i/>
        </w:rPr>
        <w:t xml:space="preserve"> The Landing Page keeps its familiar branded look — background image, PSAT logo/hero, and the green profile selection panel — but the functional pop-ups behind it were rebuilt for v2:</w:t>
      </w:r>
    </w:p>
    <w:p>
      <w:pPr>
        <w:pStyle w:val="ListBullet"/>
      </w:pPr>
      <w:r>
        <w:rPr>
          <w:b w:val="0"/>
          <w:i w:val="0"/>
        </w:rPr>
        <w:t xml:space="preserve">The </w:t>
      </w:r>
      <w:r>
        <w:rPr>
          <w:b/>
          <w:i w:val="0"/>
        </w:rPr>
        <w:t>Enter PIN</w:t>
      </w:r>
      <w:r>
        <w:rPr>
          <w:b w:val="0"/>
          <w:i w:val="0"/>
        </w:rPr>
        <w:t xml:space="preserve">, </w:t>
      </w:r>
      <w:r>
        <w:rPr>
          <w:b/>
          <w:i w:val="0"/>
        </w:rPr>
        <w:t>Create Profile</w:t>
      </w:r>
      <w:r>
        <w:rPr>
          <w:b w:val="0"/>
          <w:i w:val="0"/>
        </w:rPr>
        <w:t xml:space="preserve">, </w:t>
      </w:r>
      <w:r>
        <w:rPr>
          <w:b/>
          <w:i w:val="0"/>
        </w:rPr>
        <w:t>Manage Profile</w:t>
      </w:r>
      <w:r>
        <w:rPr>
          <w:b w:val="0"/>
          <w:i w:val="0"/>
        </w:rPr>
        <w:t xml:space="preserve">, </w:t>
      </w:r>
      <w:r>
        <w:rPr>
          <w:b/>
          <w:i w:val="0"/>
        </w:rPr>
        <w:t>Delete Profile</w:t>
      </w:r>
      <w:r>
        <w:rPr>
          <w:b w:val="0"/>
          <w:i w:val="0"/>
        </w:rPr>
        <w:t xml:space="preserve">, and </w:t>
      </w:r>
      <w:r>
        <w:rPr>
          <w:b/>
          <w:i w:val="0"/>
        </w:rPr>
        <w:t>Reset PIN</w:t>
      </w:r>
      <w:r>
        <w:rPr>
          <w:b w:val="0"/>
          <w:i w:val="0"/>
        </w:rPr>
        <w:t xml:space="preserve"> dialogs all now open in a new, lighter pop-up style consistent with the rest of the v2 interface.</w:t>
      </w:r>
    </w:p>
    <w:p>
      <w:pPr>
        <w:pStyle w:val="ListBullet"/>
      </w:pPr>
      <w:r>
        <w:rPr>
          <w:b w:val="0"/>
          <w:i w:val="0"/>
        </w:rPr>
        <w:t xml:space="preserve">The right-hand profile panel </w:t>
      </w:r>
      <w:r>
        <w:rPr>
          <w:b/>
          <w:i w:val="0"/>
        </w:rPr>
        <w:t>no longer scrolls as a whole</w:t>
      </w:r>
      <w:r>
        <w:rPr>
          <w:b w:val="0"/>
          <w:i w:val="0"/>
        </w:rPr>
        <w:t xml:space="preserve"> — only the list of profiles scrolls internally, so the </w:t>
      </w:r>
      <w:r>
        <w:rPr>
          <w:b/>
          <w:i w:val="0"/>
        </w:rPr>
        <w:t>Start</w:t>
      </w:r>
      <w:r>
        <w:rPr>
          <w:b w:val="0"/>
          <w:i w:val="0"/>
        </w:rPr>
        <w:t xml:space="preserve"> button stays pinned and visible on screen no matter how many profiles are registered on the device.</w:t>
      </w:r>
    </w:p>
    <w:p>
      <w:pPr>
        <w:pStyle w:val="ListBullet"/>
      </w:pPr>
      <w:r>
        <w:rPr>
          <w:b w:val="0"/>
          <w:i w:val="0"/>
        </w:rPr>
        <w:t>This fixes an old issue where, on devices with many saved profiles, the Start button could be scrolled out of view.</w:t>
      </w:r>
    </w:p>
    <w:p>
      <w:pPr/>
      <w:r>
        <w:rPr>
          <w:b w:val="0"/>
          <w:i/>
        </w:rPr>
        <w:t>A full redesign of the branded landing layout itself (background, hero, logo) is still planned for a future update — only the profile pop-ups have moved to v2 so far.</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pPr/>
      <w:r>
        <w:rPr>
          <w:b/>
          <w:i/>
        </w:rPr>
        <w:t>What's new in v2:</w:t>
      </w:r>
      <w:r>
        <w:rPr>
          <w:b w:val="0"/>
          <w:i/>
        </w:rPr>
        <w:t xml:space="preserve"> The Home page is fully redesigned. A few behaviours changed along with the new look:</w:t>
      </w:r>
    </w:p>
    <w:p>
      <w:pPr>
        <w:pStyle w:val="ListBullet"/>
      </w:pPr>
      <w:r>
        <w:rPr>
          <w:b/>
          <w:i w:val="0"/>
        </w:rPr>
        <w:t>Clear filters</w:t>
      </w:r>
      <w:r>
        <w:rPr>
          <w:b w:val="0"/>
          <w:i w:val="0"/>
        </w:rPr>
        <w:t xml:space="preserve"> is now a single </w:t>
      </w:r>
      <w:r>
        <w:rPr>
          <w:b/>
          <w:i w:val="0"/>
        </w:rPr>
        <w:t>×</w:t>
      </w:r>
      <w:r>
        <w:rPr>
          <w:b w:val="0"/>
          <w:i w:val="0"/>
        </w:rPr>
        <w:t xml:space="preserve"> at the end of the “Search by Tags” bar (it appears once a search term or tag filter is active) instead of a separate “Clear Filters” button — it still clears the name search and every tag filter in one click.</w:t>
      </w:r>
    </w:p>
    <w:p>
      <w:pPr>
        <w:pStyle w:val="ListBullet"/>
      </w:pPr>
      <w:r>
        <w:rPr>
          <w:b w:val="0"/>
          <w:i w:val="0"/>
        </w:rPr>
        <w:t xml:space="preserve">The </w:t>
      </w:r>
      <w:r>
        <w:rPr>
          <w:b/>
          <w:i w:val="0"/>
        </w:rPr>
        <w:t>Total Distance Verified</w:t>
      </w:r>
      <w:r>
        <w:rPr>
          <w:b w:val="0"/>
          <w:i w:val="0"/>
        </w:rPr>
        <w:t xml:space="preserve"> summary shown above the project table in v1 has been removed from the v2 action bar; per-project verified distance is still shown in the table itself.</w:t>
      </w:r>
    </w:p>
    <w:p>
      <w:pPr>
        <w:pStyle w:val="ListBullet"/>
      </w:pPr>
      <w:r>
        <w:rPr>
          <w:b w:val="0"/>
          <w:i w:val="0"/>
        </w:rPr>
        <w:t xml:space="preserve">The sidebar gains a </w:t>
      </w:r>
      <w:r>
        <w:rPr>
          <w:b/>
          <w:i w:val="0"/>
        </w:rPr>
        <w:t>Quick Select</w:t>
      </w:r>
      <w:r>
        <w:rPr>
          <w:b w:val="0"/>
          <w:i w:val="0"/>
        </w:rPr>
        <w:t xml:space="preserve"> accordion (see Section 1.6) and, for Home specifically, a </w:t>
      </w:r>
      <w:r>
        <w:rPr>
          <w:b/>
          <w:i w:val="0"/>
        </w:rPr>
        <w:t>GIS Layers</w:t>
      </w:r>
      <w:r>
        <w:rPr>
          <w:b w:val="0"/>
          <w:i w:val="0"/>
        </w:rPr>
        <w:t xml:space="preserve"> shortcut and a </w:t>
      </w:r>
      <w:r>
        <w:rPr>
          <w:b/>
          <w:i w:val="0"/>
        </w:rPr>
        <w:t>Generated Reports</w:t>
      </w:r>
      <w:r>
        <w:rPr>
          <w:b w:val="0"/>
          <w:i w:val="0"/>
        </w:rPr>
        <w:t xml:space="preserve"> shortcut.</w:t>
      </w:r>
    </w:p>
    <w:p>
      <w:pPr>
        <w:pStyle w:val="ListBullet"/>
      </w:pPr>
      <w:r>
        <w:rPr>
          <w:b w:val="0"/>
          <w:i w:val="0"/>
        </w:rPr>
        <w:t xml:space="preserve">A new </w:t>
      </w:r>
      <w:r>
        <w:rPr>
          <w:b/>
          <w:i w:val="0"/>
        </w:rPr>
        <w:t>Share</w:t>
      </w:r>
      <w:r>
        <w:rPr>
          <w:b w:val="0"/>
          <w:i w:val="0"/>
        </w:rPr>
        <w:t xml:space="preserve"> action lets you copy selected projects into another profile's account (see Section 1.8).</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br/>
      </w:r>
      <w:r>
        <w:rPr>
          <w:b w:val="0"/>
          <w:i w:val="0"/>
        </w:rPr>
        <w:t xml:space="preserve">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br/>
      </w:r>
      <w:r>
        <w:rPr>
          <w:b w:val="0"/>
          <w:i w:val="0"/>
        </w:rPr>
        <w:t>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pPr/>
      <w:r>
        <w:rPr>
          <w:b/>
          <w:i/>
        </w:rPr>
        <w:t>What's new in v2:</w:t>
      </w:r>
      <w:r>
        <w:rPr>
          <w:b w:val="0"/>
          <w:i/>
        </w:rPr>
        <w:t xml:space="preserve"> The Create Project page keeps the same three creation modes, but the </w:t>
      </w:r>
      <w:r>
        <w:rPr>
          <w:b/>
          <w:i/>
        </w:rPr>
        <w:t>Single Folder</w:t>
      </w:r>
      <w:r>
        <w:rPr>
          <w:b w:val="0"/>
          <w:i/>
        </w:rPr>
        <w:t xml:space="preserve"> mode now shows a sortable folder table (Folder Name / Segments / Quarter / Distance / Projects) with multi-select checkboxes, and </w:t>
      </w:r>
      <w:r>
        <w:rPr>
          <w:b/>
          <w:i/>
        </w:rPr>
        <w:t>Polygon / Planning Area</w:t>
      </w:r>
      <w:r>
        <w:rPr>
          <w:b w:val="0"/>
          <w:i/>
        </w:rPr>
        <w:t xml:space="preserve"> mode has a collapsible 340px Layer View panel (Roads / Planning Area switches + Import Shapefile) with the drawing tools moved into a floating cluster over the map, instead of the old per-button toolbar.</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pPr/>
      <w:r>
        <w:rPr>
          <w:b/>
          <w:i/>
        </w:rPr>
        <w:t>v2 only:</w:t>
      </w:r>
      <w:r>
        <w:rPr>
          <w:b w:val="0"/>
          <w:i/>
        </w:rPr>
        <w:t xml:space="preserve"> Quick Select is part of the new v2 sidebar and is not available in the v1 interface — in v1, use the project list on the Home page to select projects for each workflow instead.</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pPr/>
      <w:r>
        <w:rPr>
          <w:b/>
          <w:i/>
        </w:rPr>
        <w:t>What's new in v2:</w:t>
      </w:r>
      <w:r>
        <w:rPr>
          <w:b w:val="0"/>
          <w:i/>
        </w:rPr>
        <w:t xml:space="preserve"> The GIS Layers page has also been fully redesigned to match the rest of the v2 interface (rounded 6px cards, the v2 sidebar, and consistent tab styling) — the underlying browse/filter/rename/replace workflow described in Section 6 is unchanged.</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r>
        <w:rPr>
          <w:b/>
          <w:i/>
        </w:rPr>
        <w:t>What's new in v2:</w:t>
      </w:r>
      <w:r>
        <w:rPr>
          <w:b w:val="0"/>
          <w:i/>
        </w:rPr>
        <w:t xml:space="preserve"> The Coding page was fully redesigned. The core review workflow (image, attributes table, map) is unchanged, but several controls moved and a few small behaviours changed:</w:t>
      </w:r>
    </w:p>
    <w:p>
      <w:pPr>
        <w:pStyle w:val="ListBullet"/>
      </w:pPr>
      <w:r>
        <w:rPr>
          <w:b w:val="0"/>
          <w:i w:val="0"/>
        </w:rPr>
        <w:t xml:space="preserve">The </w:t>
      </w:r>
      <w:r>
        <w:rPr>
          <w:b/>
          <w:i w:val="0"/>
        </w:rPr>
        <w:t>segment navigator, “Auto-code (By Segment)”, “Auto-code (By Attribute)”, Previous/Next, and Save</w:t>
      </w:r>
      <w:r>
        <w:rPr>
          <w:b w:val="0"/>
          <w:i w:val="0"/>
        </w:rPr>
        <w:t xml:space="preserve"> are all now on-canvas, in and around the segment-navigator row, instead of living in the sidebar.</w:t>
      </w:r>
    </w:p>
    <w:p>
      <w:pPr>
        <w:pStyle w:val="ListBullet"/>
      </w:pPr>
      <w:r>
        <w:rPr>
          <w:b w:val="0"/>
          <w:i w:val="0"/>
        </w:rPr>
        <w:t xml:space="preserve">Coded attribute cells use a clearer colour scheme: </w:t>
      </w:r>
      <w:r>
        <w:rPr>
          <w:b/>
          <w:i w:val="0"/>
        </w:rPr>
        <w:t>red</w:t>
      </w:r>
      <w:r>
        <w:rPr>
          <w:b w:val="0"/>
          <w:i w:val="0"/>
        </w:rPr>
        <w:t xml:space="preserve"> = manually overwritten, </w:t>
      </w:r>
      <w:r>
        <w:rPr>
          <w:b/>
          <w:i w:val="0"/>
        </w:rPr>
        <w:t>yellow</w:t>
      </w:r>
      <w:r>
        <w:rPr>
          <w:b w:val="0"/>
          <w:i w:val="0"/>
        </w:rPr>
        <w:t xml:space="preserve"> = changed by auto-code, </w:t>
      </w:r>
      <w:r>
        <w:rPr>
          <w:b/>
          <w:i w:val="0"/>
        </w:rPr>
        <w:t>green</w:t>
      </w:r>
      <w:r>
        <w:rPr>
          <w:b w:val="0"/>
          <w:i w:val="0"/>
        </w:rPr>
        <w:t xml:space="preserve"> = changed by a treatment preview. Autocoded attribute titles show </w:t>
      </w:r>
      <w:r>
        <w:rPr>
          <w:b/>
          <w:i w:val="0"/>
        </w:rPr>
        <w:t>(CV)</w:t>
      </w:r>
      <w:r>
        <w:rPr>
          <w:b w:val="0"/>
          <w:i w:val="0"/>
        </w:rPr>
        <w:t xml:space="preserve"> or </w:t>
      </w:r>
      <w:r>
        <w:rPr>
          <w:b/>
          <w:i w:val="0"/>
        </w:rPr>
        <w:t>(GIS)</w:t>
      </w:r>
      <w:r>
        <w:rPr>
          <w:b w:val="0"/>
          <w:i w:val="0"/>
        </w:rPr>
        <w:t xml:space="preserve"> to indicate their source.</w:t>
      </w:r>
    </w:p>
    <w:p>
      <w:pPr>
        <w:pStyle w:val="ListBullet"/>
      </w:pPr>
      <w:r>
        <w:rPr>
          <w:b w:val="0"/>
          <w:i w:val="0"/>
        </w:rPr>
        <w:t xml:space="preserve">The GIS </w:t>
      </w:r>
      <w:r>
        <w:rPr>
          <w:b/>
          <w:i w:val="0"/>
        </w:rPr>
        <w:t>Map Preview &amp; Analysis</w:t>
      </w:r>
      <w:r>
        <w:rPr>
          <w:b w:val="0"/>
          <w:i w:val="0"/>
        </w:rPr>
        <w:t xml:space="preserve"> side panel (Section 2.10) is a static, collapsible </w:t>
      </w:r>
      <w:r>
        <w:rPr>
          <w:b/>
          <w:i w:val="0"/>
        </w:rPr>
        <w:t>Layer View</w:t>
      </w:r>
      <w:r>
        <w:rPr>
          <w:b w:val="0"/>
          <w:i w:val="0"/>
        </w:rPr>
        <w:t xml:space="preserve"> panel instead of the old slide-in overlay — click the small tab on its edge to open or close it.</w:t>
      </w:r>
    </w:p>
    <w:p>
      <w:pPr>
        <w:pStyle w:val="ListBullet"/>
      </w:pPr>
      <w:r>
        <w:rPr>
          <w:b w:val="0"/>
          <w:i w:val="0"/>
        </w:rPr>
        <w:t xml:space="preserve">The </w:t>
      </w:r>
      <w:r>
        <w:rPr>
          <w:b/>
          <w:i w:val="0"/>
        </w:rPr>
        <w:t>“Start Autocoding?” confirmation pop-up</w:t>
      </w:r>
      <w:r>
        <w:rPr>
          <w:b w:val="0"/>
          <w:i w:val="0"/>
        </w:rPr>
        <w:t xml:space="preserve"> before running any auto-code action is kept in v2 — it was not removed, since auto-code overwrites existing attribute values and a confirmation step is worth the extra click.</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r>
        <w:rPr>
          <w:b w:val="0"/>
          <w:i w:val="0"/>
        </w:rPr>
        <w:t>!</w:t>
      </w:r>
      <w:r>
        <w:rPr>
          <w:b w:val="0"/>
          <w:i w:val="0"/>
        </w:rPr>
        <w:t>5m buffer zone diagram</w:t>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r>
        <w:rPr>
          <w:b w:val="0"/>
          <w:i w:val="0"/>
        </w:rPr>
        <w:t>!</w:t>
      </w:r>
      <w:r>
        <w:rPr>
          <w:b w:val="0"/>
          <w:i w:val="0"/>
        </w:rPr>
        <w:t>Triplet lopsided rejection diagram</w:t>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r>
        <w:rPr>
          <w:b w:val="0"/>
          <w:i w:val="0"/>
        </w:rPr>
        <w:t>!</w:t>
      </w:r>
      <w:r>
        <w:rPr>
          <w:b w:val="0"/>
          <w:i w:val="0"/>
        </w:rPr>
        <w:t>Path intersection deflection angle diagram</w:t>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pPr/>
      <w:r>
        <w:rPr>
          <w:b/>
          <w:i/>
        </w:rPr>
        <w:t>v2 layout:</w:t>
      </w:r>
      <w:r>
        <w:rPr>
          <w:b w:val="0"/>
          <w:i/>
        </w:rPr>
        <w:t xml:space="preserve"> The GIS layer toggles live in a fixed </w:t>
      </w:r>
      <w:r>
        <w:rPr>
          <w:b/>
          <w:i/>
        </w:rPr>
        <w:t>Layer View</w:t>
      </w:r>
      <w:r>
        <w:rPr>
          <w:b w:val="0"/>
          <w:i/>
        </w:rPr>
        <w:t xml:space="preserve"> panel that slides open from the left edge of the map (click the small ›/‹ tab to open or close it) instead of the v1 pop-out overlay. It starts closed; the toggles, Import Shapefile button, and overlay behaviour are otherwise the same as v1.</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r>
        <w:rPr>
          <w:b/>
          <w:i/>
        </w:rPr>
        <w:t>What's new in v2:</w:t>
      </w:r>
      <w:r>
        <w:rPr>
          <w:b w:val="0"/>
          <w:i/>
        </w:rPr>
        <w:t xml:space="preserve"> The Path Analysis page was fully redesigned. The underlying filtering, export, and session-continuity behaviour described below is the same — what changed is layout and a few added conveniences:</w:t>
      </w:r>
    </w:p>
    <w:p>
      <w:pPr>
        <w:pStyle w:val="ListBullet"/>
      </w:pPr>
      <w:r>
        <w:rPr>
          <w:b/>
          <w:i w:val="0"/>
        </w:rPr>
        <w:t>Layout:</w:t>
      </w:r>
      <w:r>
        <w:rPr>
          <w:b w:val="0"/>
          <w:i w:val="0"/>
        </w:rPr>
        <w:t xml:space="preserve"> the top row is now an </w:t>
      </w:r>
      <w:r>
        <w:rPr>
          <w:b/>
          <w:i w:val="0"/>
        </w:rPr>
        <w:t>accordion card</w:t>
      </w:r>
      <w:r>
        <w:rPr>
          <w:b w:val="0"/>
          <w:i w:val="0"/>
        </w:rPr>
        <w:t xml:space="preserve"> with three collapsible sections — *Top Risk Contributors* (open by default), *Toggle Attributes*, and *Current Filters* — next to the map; the bottom row shows *Distribution of Project* next to an *Overall Risk Level* card (stacked risk-band bars per crash type, replacing the v1 pie/bar-only view).</w:t>
      </w:r>
    </w:p>
    <w:p>
      <w:pPr>
        <w:pStyle w:val="ListBullet"/>
      </w:pPr>
      <w:r>
        <w:rPr>
          <w:b/>
          <w:i w:val="0"/>
        </w:rPr>
        <w:t>Map/Table toggle, Jump-to-Project pills, and Download</w:t>
      </w:r>
      <w:r>
        <w:rPr>
          <w:b w:val="0"/>
          <w:i w:val="0"/>
        </w:rPr>
        <w:t xml:space="preserve"> — the Map/Table switch and the project “jump to” pills (now pink) sit above the map; the three separate coloured download buttons are consolidated into a single </w:t>
      </w:r>
      <w:r>
        <w:rPr>
          <w:b/>
          <w:i w:val="0"/>
        </w:rPr>
        <w:t>“Download ▾”</w:t>
      </w:r>
      <w:r>
        <w:rPr>
          <w:b w:val="0"/>
          <w:i w:val="0"/>
        </w:rPr>
        <w:t xml:space="preserve"> dropdown.</w:t>
      </w:r>
    </w:p>
    <w:p>
      <w:pPr>
        <w:pStyle w:val="ListBullet"/>
      </w:pPr>
      <w:r>
        <w:rPr>
          <w:b/>
          <w:i w:val="0"/>
        </w:rPr>
        <w:t>Segment hover thumbnails</w:t>
      </w:r>
      <w:r>
        <w:rPr>
          <w:b w:val="0"/>
          <w:i w:val="0"/>
        </w:rPr>
        <w:t xml:space="preserve"> and </w:t>
      </w:r>
      <w:r>
        <w:rPr>
          <w:b/>
          <w:i w:val="0"/>
        </w:rPr>
        <w:t>Mark Verified (session-only)</w:t>
      </w:r>
      <w:r>
        <w:rPr>
          <w:b w:val="0"/>
          <w:i w:val="0"/>
        </w:rPr>
        <w:t xml:space="preserve"> — see the notes further below in this section for details.</w:t>
      </w:r>
    </w:p>
    <w:p>
      <w:pPr>
        <w:pStyle w:val="ListBullet"/>
      </w:pPr>
      <w:r>
        <w:rPr>
          <w:b/>
          <w:i w:val="0"/>
        </w:rPr>
        <w:t>Generate Report</w:t>
      </w:r>
      <w:r>
        <w:rPr>
          <w:b w:val="0"/>
          <w:i w:val="0"/>
        </w:rPr>
        <w:t xml:space="preserve"> moved from the sidebar onto the canvas, next to the Download dropdown; it reads “📄 Continue Report” instead of “📄 Generate Report” once a report layout already exists in your browser.</w:t>
      </w:r>
    </w:p>
    <w:p>
      <w:pPr>
        <w:pStyle w:val="ListBullet"/>
      </w:pPr>
      <w:r>
        <w:rPr>
          <w:b/>
          <w:i w:val="0"/>
        </w:rPr>
        <w:t>Clear Filters</w:t>
      </w:r>
      <w:r>
        <w:rPr>
          <w:b w:val="0"/>
          <w:i w:val="0"/>
        </w:rPr>
        <w:t xml:space="preserve"> is on-canvas rather than a dedicated sidebar button.</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2"/>
      </w:pPr>
      <w:r>
        <w:rPr>
          <w:b w:val="0"/>
          <w:i w:val="0"/>
        </w:rPr>
        <w:t>3.3.2 Finer Filtering — Sub-category Options</w:t>
      </w:r>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Style w:val="ListBullet"/>
      </w:pPr>
      <w:r>
        <w:rPr>
          <w:b w:val="0"/>
          <w:i w:val="0"/>
        </w:rPr>
        <w:t>3.6 Finer Filtering Reference</w:t>
      </w:r>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pPr/>
      <w:r>
        <w:rPr>
          <w:b/>
          <w:i w:val="0"/>
        </w:rPr>
        <w:t>Clear Filters</w:t>
      </w:r>
      <w:r>
        <w:rPr>
          <w:b w:val="0"/>
          <w:i w:val="0"/>
        </w:rPr>
        <w:t xml:space="preserve"> — clear every active segment filter in one click from the </w:t>
      </w:r>
      <w:r>
        <w:rPr>
          <w:b/>
          <w:i w:val="0"/>
        </w:rPr>
        <w:t>Current Filters</w:t>
      </w:r>
      <w:r>
        <w:rPr>
          <w:b w:val="0"/>
          <w:i w:val="0"/>
        </w:rPr>
        <w:t xml:space="preserve"> section of the accordion (v2) or the dedicated Clear Filters button (v1).</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t>When "Present": Cycling Path; Red Stripe;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t>When "Present": Lamp Post; Traffic Light; Covered Linkway Pole; Bollard; Billboard; Sign Pole; Utility Box; Railing; Vegetation; Others (any obstacle not matching a preset type is standardised to Others)</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t>When "Present": Barrier; Bin; Bicycle; Cone; Others (any obstacle not matching a preset type is standardised to Others)</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it is likely because the source attribute was coded incorrectly for some segments. To fix this:</w:t>
      </w:r>
    </w:p>
    <w:p>
      <w:pPr>
        <w:pStyle w:val="ListNumber"/>
        <w:ind w:left="864"/>
        <w:pBdr>
          <w:left w:val="single" w:sz="12" w:space="4" w:color="CBD5E0"/>
        </w:pBdr>
      </w:pPr>
      <w:r>
        <w:rPr>
          <w:b w:val="0"/>
          <w:i/>
        </w:rPr>
        <w:t>Hover over a segment dot to preview its thumbnail image and confirm it's the right one, then click the affected segment on the map to open it in the Coding page.</w:t>
      </w:r>
    </w:p>
    <w:p>
      <w:pPr>
        <w:pStyle w:val="ListNumber"/>
        <w:ind w:left="864"/>
        <w:pBdr>
          <w:left w:val="single" w:sz="12" w:space="4" w:color="CBD5E0"/>
        </w:pBdr>
      </w:pPr>
      <w:r>
        <w:rPr>
          <w:b w:val="0"/>
          <w:i/>
        </w:rPr>
        <w:t>Review and correct the attribute value (e.g. change the sub-type for Fixed Obstacle Type).</w:t>
      </w:r>
    </w:p>
    <w:p>
      <w:pPr>
        <w:pStyle w:val="ListNumber"/>
        <w:ind w:left="864"/>
        <w:pBdr>
          <w:left w:val="single" w:sz="12" w:space="4" w:color="CBD5E0"/>
        </w:pBdr>
      </w:pPr>
      <w:r>
        <w:rPr>
          <w:b w:val="0"/>
          <w:i/>
        </w:rPr>
        <w:t xml:space="preserve">Save the segment, then click </w:t>
      </w:r>
      <w:r>
        <w:rPr>
          <w:b/>
          <w:i/>
        </w:rPr>
        <w:t>Back to Analysis</w:t>
      </w:r>
      <w:r>
        <w:rPr>
          <w:b w:val="0"/>
          <w:i/>
        </w:rPr>
        <w:t xml:space="preserve"> to return.</w:t>
      </w:r>
    </w:p>
    <w:p>
      <w:pPr>
        <w:pStyle w:val="ListNumber"/>
        <w:ind w:left="864"/>
        <w:pBdr>
          <w:left w:val="single" w:sz="12" w:space="4" w:color="CBD5E0"/>
        </w:pBdr>
      </w:pPr>
      <w:r>
        <w:rPr>
          <w:b w:val="0"/>
          <w:i/>
        </w:rPr>
        <w:t>Re-apply the filter — the updated colour will now be reflected on the map.</w:t>
      </w:r>
    </w:p>
    <w:p>
      <w:pPr>
        <w:pStyle w:val="Heading4"/>
      </w:pPr>
      <w:r>
        <w:rPr>
          <w:b w:val="0"/>
          <w:i w:val="0"/>
        </w:rPr>
        <w:t>3.3.2 Finer Filtering — Sub-category Options</w:t>
      </w:r>
    </w:p>
    <w:p>
      <w:pPr/>
      <w:r>
        <w:rPr>
          <w:b w:val="0"/>
          <w:i w:val="0"/>
        </w:rPr>
        <w:t>Selecting a top-level filter value for any attribute marked ❖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Attribute</w:t>
            </w:r>
          </w:p>
        </w:tc>
        <w:tc>
          <w:tcPr>
            <w:tcW w:type="dxa" w:w="2880"/>
          </w:tcPr>
          <w:p>
            <w:r/>
            <w:r>
              <w:rPr>
                <w:b/>
              </w:rPr>
              <w:t>Trigger Value</w:t>
            </w:r>
          </w:p>
        </w:tc>
        <w:tc>
          <w:tcPr>
            <w:tcW w:type="dxa" w:w="2880"/>
          </w:tcPr>
          <w:p>
            <w:r/>
            <w:r>
              <w:rPr>
                <w:b/>
              </w:rPr>
              <w:t>Sub-category Options</w:t>
            </w:r>
          </w:p>
        </w:tc>
      </w:tr>
      <w:tr>
        <w:tc>
          <w:tcPr>
            <w:tcW w:type="dxa" w:w="2880"/>
          </w:tcPr>
          <w:p>
            <w:r/>
            <w:r>
              <w:t>Facility Width per Direction</w:t>
            </w:r>
          </w:p>
        </w:tc>
        <w:tc>
          <w:tcPr>
            <w:tcW w:type="dxa" w:w="2880"/>
          </w:tcPr>
          <w:p>
            <w:r/>
            <w:r>
              <w:t>Very Narrow</w:t>
            </w:r>
          </w:p>
        </w:tc>
        <w:tc>
          <w:tcPr>
            <w:tcW w:type="dxa" w:w="2880"/>
          </w:tcPr>
          <w:p>
            <w:r/>
            <w:r>
              <w:t>≤1.5 m; &gt;1.5–1.8 m; &gt;1.8–&lt;2 m</w:t>
            </w:r>
          </w:p>
        </w:tc>
      </w:tr>
      <w:tr>
        <w:tc>
          <w:tcPr>
            <w:tcW w:type="dxa" w:w="2880"/>
          </w:tcPr>
          <w:p>
            <w:r/>
            <w:r>
              <w:t>Facility Width per Direction</w:t>
            </w:r>
          </w:p>
        </w:tc>
        <w:tc>
          <w:tcPr>
            <w:tcW w:type="dxa" w:w="2880"/>
          </w:tcPr>
          <w:p>
            <w:r/>
            <w:r>
              <w:t>Narrow</w:t>
            </w:r>
          </w:p>
        </w:tc>
        <w:tc>
          <w:tcPr>
            <w:tcW w:type="dxa" w:w="2880"/>
          </w:tcPr>
          <w:p>
            <w:r/>
            <w:r>
              <w:t>2–&lt;3.5 m; 3.5–4 m</w:t>
            </w:r>
          </w:p>
        </w:tc>
      </w:tr>
      <w:tr>
        <w:tc>
          <w:tcPr>
            <w:tcW w:type="dxa" w:w="2880"/>
          </w:tcPr>
          <w:p>
            <w:r/>
            <w:r>
              <w:t>Facility Width per Direction</w:t>
            </w:r>
          </w:p>
        </w:tc>
        <w:tc>
          <w:tcPr>
            <w:tcW w:type="dxa" w:w="2880"/>
          </w:tcPr>
          <w:p>
            <w:r/>
            <w:r>
              <w:t>Wide</w:t>
            </w:r>
          </w:p>
        </w:tc>
        <w:tc>
          <w:tcPr>
            <w:tcW w:type="dxa" w:w="2880"/>
          </w:tcPr>
          <w:p>
            <w:r/>
            <w:r>
              <w:t>&gt;4 m</w:t>
            </w:r>
          </w:p>
        </w:tc>
      </w:tr>
      <w:tr>
        <w:tc>
          <w:tcPr>
            <w:tcW w:type="dxa" w:w="2880"/>
          </w:tcPr>
          <w:p>
            <w:r/>
            <w:r>
              <w:t>Curvature</w:t>
            </w:r>
          </w:p>
        </w:tc>
        <w:tc>
          <w:tcPr>
            <w:tcW w:type="dxa" w:w="2880"/>
          </w:tcPr>
          <w:p>
            <w:r/>
            <w:r>
              <w:t>Sharp Turn Present</w:t>
            </w:r>
          </w:p>
        </w:tc>
        <w:tc>
          <w:tcPr>
            <w:tcW w:type="dxa" w:w="2880"/>
          </w:tcPr>
          <w:p>
            <w:r/>
            <w:r>
              <w:t>&lt;6.5 m (footpath threshold); 6.5–&lt;10 m; Path Junction</w:t>
            </w:r>
          </w:p>
        </w:tc>
      </w:tr>
      <w:tr>
        <w:tc>
          <w:tcPr>
            <w:tcW w:type="dxa" w:w="2880"/>
          </w:tcPr>
          <w:p>
            <w:r/>
            <w:r>
              <w:t>Curvature</w:t>
            </w:r>
          </w:p>
        </w:tc>
        <w:tc>
          <w:tcPr>
            <w:tcW w:type="dxa" w:w="2880"/>
          </w:tcPr>
          <w:p>
            <w:r/>
            <w:r>
              <w:t>No Sharp Turn Present</w:t>
            </w:r>
          </w:p>
        </w:tc>
        <w:tc>
          <w:tcPr>
            <w:tcW w:type="dxa" w:w="2880"/>
          </w:tcPr>
          <w:p>
            <w:r/>
            <w:r>
              <w:t>10–18 m; &gt;18 m (cycling path threshold ≥18 m)</w:t>
            </w:r>
          </w:p>
        </w:tc>
      </w:tr>
      <w:tr>
        <w:tc>
          <w:tcPr>
            <w:tcW w:type="dxa" w:w="2880"/>
          </w:tcPr>
          <w:p>
            <w:r/>
            <w:r>
              <w:t>Fixed Obstacle on Facility</w:t>
            </w:r>
          </w:p>
        </w:tc>
        <w:tc>
          <w:tcPr>
            <w:tcW w:type="dxa" w:w="2880"/>
          </w:tcPr>
          <w:p>
            <w:r/>
            <w:r>
              <w:t>Present</w:t>
            </w:r>
          </w:p>
        </w:tc>
        <w:tc>
          <w:tcPr>
            <w:tcW w:type="dxa" w:w="2880"/>
          </w:tcPr>
          <w:p>
            <w:r/>
            <w:r>
              <w:t>Lamp Post; Traffic Light; Covered Linkway Pole; Bollard; Billboard; Sign Pole; Utility Box; Railing; Vegetation; Others (standardised fallback for any unrecognised type)</w:t>
            </w:r>
          </w:p>
        </w:tc>
      </w:tr>
      <w:tr>
        <w:tc>
          <w:tcPr>
            <w:tcW w:type="dxa" w:w="2880"/>
          </w:tcPr>
          <w:p>
            <w:r/>
            <w:r>
              <w:t>Non-Fixed Obstacle on Facility</w:t>
            </w:r>
          </w:p>
        </w:tc>
        <w:tc>
          <w:tcPr>
            <w:tcW w:type="dxa" w:w="2880"/>
          </w:tcPr>
          <w:p>
            <w:r/>
            <w:r>
              <w:t>Present</w:t>
            </w:r>
          </w:p>
        </w:tc>
        <w:tc>
          <w:tcPr>
            <w:tcW w:type="dxa" w:w="2880"/>
          </w:tcPr>
          <w:p>
            <w:r/>
            <w:r>
              <w:t>Barrier; Bin; Bicycle; Cone; Others (standardised fallback for any unrecognised type)</w:t>
            </w:r>
          </w:p>
        </w:tc>
      </w:tr>
      <w:tr>
        <w:tc>
          <w:tcPr>
            <w:tcW w:type="dxa" w:w="2880"/>
          </w:tcPr>
          <w:p>
            <w:r/>
            <w:r>
              <w:t>Delineation</w:t>
            </w:r>
          </w:p>
        </w:tc>
        <w:tc>
          <w:tcPr>
            <w:tcW w:type="dxa" w:w="2880"/>
          </w:tcPr>
          <w:p>
            <w:r/>
            <w:r>
              <w:t>Present</w:t>
            </w:r>
          </w:p>
        </w:tc>
        <w:tc>
          <w:tcPr>
            <w:tcW w:type="dxa" w:w="2880"/>
          </w:tcPr>
          <w:p>
            <w:r/>
            <w:r>
              <w:t>Cycling Path; Red Stripe; Signalised Crossing; Traffic Crossing; Zebra Crossing</w:t>
            </w:r>
          </w:p>
        </w:tc>
      </w:tr>
      <w:tr>
        <w:tc>
          <w:tcPr>
            <w:tcW w:type="dxa" w:w="2880"/>
          </w:tcPr>
          <w:p>
            <w:r/>
            <w:r>
              <w:t>Delineation</w:t>
            </w:r>
          </w:p>
        </w:tc>
        <w:tc>
          <w:tcPr>
            <w:tcW w:type="dxa" w:w="2880"/>
          </w:tcPr>
          <w:p>
            <w:r/>
            <w:r>
              <w:t>Not Present</w:t>
            </w:r>
          </w:p>
        </w:tc>
        <w:tc>
          <w:tcPr>
            <w:tcW w:type="dxa" w:w="2880"/>
          </w:tcPr>
          <w:p>
            <w:r/>
            <w:r>
              <w:t>Faded Marking</w:t>
            </w:r>
          </w:p>
        </w:tc>
      </w:tr>
      <w:tr>
        <w:tc>
          <w:tcPr>
            <w:tcW w:type="dxa" w:w="2880"/>
          </w:tcPr>
          <w:p>
            <w:r/>
            <w:r>
              <w:t>Crossing Facility</w:t>
            </w:r>
          </w:p>
        </w:tc>
        <w:tc>
          <w:tcPr>
            <w:tcW w:type="dxa" w:w="2880"/>
          </w:tcPr>
          <w:p>
            <w:r/>
            <w:r>
              <w:t>Present</w:t>
            </w:r>
          </w:p>
        </w:tc>
        <w:tc>
          <w:tcPr>
            <w:tcW w:type="dxa" w:w="2880"/>
          </w:tcPr>
          <w:p>
            <w:r/>
            <w:r>
              <w:t>Zebra Crossing; Signalised PC; Bicycle Crossing; Unsignalised Junction; Development Access</w:t>
            </w:r>
          </w:p>
        </w:tc>
      </w:tr>
      <w:tr>
        <w:tc>
          <w:tcPr>
            <w:tcW w:type="dxa" w:w="2880"/>
          </w:tcPr>
          <w:p>
            <w:r/>
            <w:r>
              <w:t>Major Surface Deformation or Drain Opening</w:t>
            </w:r>
          </w:p>
        </w:tc>
        <w:tc>
          <w:tcPr>
            <w:tcW w:type="dxa" w:w="2880"/>
          </w:tcPr>
          <w:p>
            <w:r/>
            <w:r>
              <w:t>Present</w:t>
            </w:r>
          </w:p>
        </w:tc>
        <w:tc>
          <w:tcPr>
            <w:tcW w:type="dxa" w:w="2880"/>
          </w:tcPr>
          <w:p>
            <w:r/>
            <w:r>
              <w:t>Footpath crack; Uneven Footpath</w:t>
            </w:r>
          </w:p>
        </w:tc>
      </w:tr>
    </w:tbl>
    <w:p>
      <w:pPr/>
      <w:r>
        <w:rPr>
          <w:b/>
          <w:i w:val="0"/>
        </w:rPr>
        <w:t>How to use finer filtering:</w:t>
      </w:r>
    </w:p>
    <w:p>
      <w:pPr>
        <w:pStyle w:val="ListNumber"/>
      </w:pPr>
      <w:r>
        <w:rPr>
          <w:b w:val="0"/>
          <w:i w:val="0"/>
        </w:rPr>
        <w:t>In the Filter panel, select an attribute that supports finer filtering (marked ❖).</w:t>
      </w:r>
    </w:p>
    <w:p>
      <w:pPr>
        <w:pStyle w:val="ListNumber"/>
      </w:pPr>
      <w:r>
        <w:rPr>
          <w:b w:val="0"/>
          <w:i w:val="0"/>
        </w:rPr>
        <w:t>Choose a top-level value (e.g. Present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To adjust or clear the sub-filter, click the × on the active sub-category chip, or change the top-level value.</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pPr/>
      <w:r>
        <w:rPr>
          <w:b/>
          <w:i/>
        </w:rPr>
        <w:t>v2 layout:</w:t>
      </w:r>
      <w:r>
        <w:rPr>
          <w:b w:val="0"/>
          <w:i/>
        </w:rPr>
        <w:t xml:space="preserve"> All three exports are reached from a single dark </w:t>
      </w:r>
      <w:r>
        <w:rPr>
          <w:b/>
          <w:i/>
        </w:rPr>
        <w:t>“Download ▾”</w:t>
      </w:r>
      <w:r>
        <w:rPr>
          <w:b w:val="0"/>
          <w:i/>
        </w:rPr>
        <w:t xml:space="preserve"> dropdown button instead of three separate coloured buttons — the export formats and contents themselves are unchanged.</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pPr>
        <w:pStyle w:val="Heading3"/>
      </w:pPr>
      <w:r>
        <w:rPr>
          <w:b w:val="0"/>
          <w:i w:val="0"/>
        </w:rPr>
        <w:t>3.6 Finer Filtering Reference</w:t>
      </w:r>
    </w:p>
    <w:p>
      <w:pPr/>
      <w:r>
        <w:rPr>
          <w:b w:val="0"/>
          <w:i w:val="0"/>
        </w:rPr>
        <w:t>Finer filtering lets you narrow a segment filter down to a specific sub-type within a parent category. When an attribute supports it, selecting a top-level value reveals a second dropdown — and the map immediately updates to colour only the segments that match your exact sub-type.</w:t>
      </w:r>
    </w:p>
    <w:p>
      <w:pPr/>
      <w:r>
        <w:rPr>
          <w:b w:val="0"/>
          <w:i w:val="0"/>
        </w:rPr>
        <w:t>Attributes that support finer filtering are marked ❖ in the filter panel.</w:t>
      </w:r>
    </w:p>
    <w:p>
      <w:pPr>
        <w:pStyle w:val="Heading4"/>
      </w:pPr>
      <w:r>
        <w:rPr>
          <w:b w:val="0"/>
          <w:i w:val="0"/>
        </w:rP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Attribute</w:t>
            </w:r>
          </w:p>
        </w:tc>
        <w:tc>
          <w:tcPr>
            <w:tcW w:type="dxa" w:w="2880"/>
          </w:tcPr>
          <w:p>
            <w:r/>
            <w:r>
              <w:rPr>
                <w:b/>
              </w:rPr>
              <w:t>Top-level Values</w:t>
            </w:r>
          </w:p>
        </w:tc>
        <w:tc>
          <w:tcPr>
            <w:tcW w:type="dxa" w:w="2880"/>
          </w:tcPr>
          <w:p>
            <w:r/>
            <w:r>
              <w:rPr>
                <w:b/>
              </w:rPr>
              <w:t>Sub-category Count</w:t>
            </w:r>
          </w:p>
        </w:tc>
      </w:tr>
      <w:tr>
        <w:tc>
          <w:tcPr>
            <w:tcW w:type="dxa" w:w="2880"/>
          </w:tcPr>
          <w:p>
            <w:r/>
            <w:r>
              <w:t>Facility Width per Direction ❖</w:t>
            </w:r>
          </w:p>
        </w:tc>
        <w:tc>
          <w:tcPr>
            <w:tcW w:type="dxa" w:w="2880"/>
          </w:tcPr>
          <w:p>
            <w:r/>
            <w:r>
              <w:t>Very Narrow; Narrow; Wide</w:t>
            </w:r>
          </w:p>
        </w:tc>
        <w:tc>
          <w:tcPr>
            <w:tcW w:type="dxa" w:w="2880"/>
          </w:tcPr>
          <w:p>
            <w:r/>
            <w:r>
              <w:t>6 width ranges</w:t>
            </w:r>
          </w:p>
        </w:tc>
      </w:tr>
      <w:tr>
        <w:tc>
          <w:tcPr>
            <w:tcW w:type="dxa" w:w="2880"/>
          </w:tcPr>
          <w:p>
            <w:r/>
            <w:r>
              <w:t>Curvature ❖</w:t>
            </w:r>
          </w:p>
        </w:tc>
        <w:tc>
          <w:tcPr>
            <w:tcW w:type="dxa" w:w="2880"/>
          </w:tcPr>
          <w:p>
            <w:r/>
            <w:r>
              <w:t>Sharp Turn Present; No Sharp Turn Present</w:t>
            </w:r>
          </w:p>
        </w:tc>
        <w:tc>
          <w:tcPr>
            <w:tcW w:type="dxa" w:w="2880"/>
          </w:tcPr>
          <w:p>
            <w:r/>
            <w:r>
              <w:t>5 radius ranges</w:t>
            </w:r>
          </w:p>
        </w:tc>
      </w:tr>
      <w:tr>
        <w:tc>
          <w:tcPr>
            <w:tcW w:type="dxa" w:w="2880"/>
          </w:tcPr>
          <w:p>
            <w:r/>
            <w:r>
              <w:t>Fixed Obstacle on Facility ❖</w:t>
            </w:r>
          </w:p>
        </w:tc>
        <w:tc>
          <w:tcPr>
            <w:tcW w:type="dxa" w:w="2880"/>
          </w:tcPr>
          <w:p>
            <w:r/>
            <w:r>
              <w:t>Present; Not Present</w:t>
            </w:r>
          </w:p>
        </w:tc>
        <w:tc>
          <w:tcPr>
            <w:tcW w:type="dxa" w:w="2880"/>
          </w:tcPr>
          <w:p>
            <w:r/>
            <w:r>
              <w:t>10 obstacle types</w:t>
            </w:r>
          </w:p>
        </w:tc>
      </w:tr>
      <w:tr>
        <w:tc>
          <w:tcPr>
            <w:tcW w:type="dxa" w:w="2880"/>
          </w:tcPr>
          <w:p>
            <w:r/>
            <w:r>
              <w:t>Non-Fixed Obstacle on Facility ❖</w:t>
            </w:r>
          </w:p>
        </w:tc>
        <w:tc>
          <w:tcPr>
            <w:tcW w:type="dxa" w:w="2880"/>
          </w:tcPr>
          <w:p>
            <w:r/>
            <w:r>
              <w:t>Present; Not Present</w:t>
            </w:r>
          </w:p>
        </w:tc>
        <w:tc>
          <w:tcPr>
            <w:tcW w:type="dxa" w:w="2880"/>
          </w:tcPr>
          <w:p>
            <w:r/>
            <w:r>
              <w:t>5 obstacle types</w:t>
            </w:r>
          </w:p>
        </w:tc>
      </w:tr>
      <w:tr>
        <w:tc>
          <w:tcPr>
            <w:tcW w:type="dxa" w:w="2880"/>
          </w:tcPr>
          <w:p>
            <w:r/>
            <w:r>
              <w:t>Delineation ❖</w:t>
            </w:r>
          </w:p>
        </w:tc>
        <w:tc>
          <w:tcPr>
            <w:tcW w:type="dxa" w:w="2880"/>
          </w:tcPr>
          <w:p>
            <w:r/>
            <w:r>
              <w:t>Present; Not Present</w:t>
            </w:r>
          </w:p>
        </w:tc>
        <w:tc>
          <w:tcPr>
            <w:tcW w:type="dxa" w:w="2880"/>
          </w:tcPr>
          <w:p>
            <w:r/>
            <w:r>
              <w:t>5 delineation types when Present; 1 type when Not Present</w:t>
            </w:r>
          </w:p>
        </w:tc>
      </w:tr>
      <w:tr>
        <w:tc>
          <w:tcPr>
            <w:tcW w:type="dxa" w:w="2880"/>
          </w:tcPr>
          <w:p>
            <w:r/>
            <w:r>
              <w:t>Crossing Facility ❖</w:t>
            </w:r>
          </w:p>
        </w:tc>
        <w:tc>
          <w:tcPr>
            <w:tcW w:type="dxa" w:w="2880"/>
          </w:tcPr>
          <w:p>
            <w:r/>
            <w:r>
              <w:t>Present; Not Present</w:t>
            </w:r>
          </w:p>
        </w:tc>
        <w:tc>
          <w:tcPr>
            <w:tcW w:type="dxa" w:w="2880"/>
          </w:tcPr>
          <w:p>
            <w:r/>
            <w:r>
              <w:t>5 crossing types</w:t>
            </w:r>
          </w:p>
        </w:tc>
      </w:tr>
      <w:tr>
        <w:tc>
          <w:tcPr>
            <w:tcW w:type="dxa" w:w="2880"/>
          </w:tcPr>
          <w:p>
            <w:r/>
            <w:r>
              <w:t>Major Surface Deformation or Drain Opening ❖</w:t>
            </w:r>
          </w:p>
        </w:tc>
        <w:tc>
          <w:tcPr>
            <w:tcW w:type="dxa" w:w="2880"/>
          </w:tcPr>
          <w:p>
            <w:r/>
            <w:r>
              <w:t>Present; Not Present</w:t>
            </w:r>
          </w:p>
        </w:tc>
        <w:tc>
          <w:tcPr>
            <w:tcW w:type="dxa" w:w="2880"/>
          </w:tcPr>
          <w:p>
            <w:r/>
            <w:r>
              <w:t>3 deformation types</w:t>
            </w:r>
          </w:p>
        </w:tc>
      </w:tr>
    </w:tbl>
    <w:p>
      <w:pPr/>
      <w:r>
        <w:rPr>
          <w:b w:val="0"/>
          <w:i w:val="0"/>
        </w:rPr>
        <w:t>All other attributes use standard single-level filtering.</w:t>
      </w:r>
    </w:p>
    <w:p>
      <w:pPr>
        <w:pStyle w:val="Heading4"/>
      </w:pPr>
      <w:r>
        <w:rPr>
          <w:b w:val="0"/>
          <w:i w:val="0"/>
        </w:rPr>
        <w:t>How to Use Finer Filtering</w:t>
      </w:r>
    </w:p>
    <w:p>
      <w:pPr>
        <w:pStyle w:val="ListNumber"/>
      </w:pPr>
      <w:r>
        <w:rPr>
          <w:b w:val="0"/>
          <w:i w:val="0"/>
        </w:rPr>
        <w:t>Open Path Analysis and load one or more projects.</w:t>
      </w:r>
    </w:p>
    <w:p>
      <w:pPr>
        <w:pStyle w:val="ListNumber"/>
      </w:pPr>
      <w:r>
        <w:rPr>
          <w:b w:val="0"/>
          <w:i w:val="0"/>
        </w:rPr>
        <w:t>In the Filter Segment panel, select an attribute marked ❖ from the dropdown.</w:t>
      </w:r>
    </w:p>
    <w:p>
      <w:pPr>
        <w:pStyle w:val="ListNumber"/>
      </w:pPr>
      <w:r>
        <w:rPr>
          <w:b w:val="0"/>
          <w:i w:val="0"/>
        </w:rPr>
        <w:t>Choose a top-level value (e.g. Present for Crossing Facility).</w:t>
      </w:r>
    </w:p>
    <w:p>
      <w:pPr>
        <w:pStyle w:val="ListNumber"/>
      </w:pPr>
      <w:r>
        <w:rPr>
          <w:b w:val="0"/>
          <w:i w:val="0"/>
        </w:rPr>
        <w:t>A sub-category dropdown appears immediately below — select the specific sub-type you want (e.g. Zebra Crossing).</w:t>
      </w:r>
    </w:p>
    <w:p>
      <w:pPr>
        <w:pStyle w:val="ListNumber"/>
      </w:pPr>
      <w:r>
        <w:rPr>
          <w:b w:val="0"/>
          <w:i w:val="0"/>
        </w:rPr>
        <w:t>The map updates to colour only segments with that sub-type. Segments with other values are shown in grey.</w:t>
      </w:r>
    </w:p>
    <w:p>
      <w:pPr>
        <w:pStyle w:val="ListNumber"/>
      </w:pPr>
      <w:r>
        <w:rPr>
          <w:b w:val="0"/>
          <w:i w:val="0"/>
        </w:rPr>
        <w:t>To change the sub-category, open the second dropdown and choose a different option.</w:t>
      </w:r>
    </w:p>
    <w:p>
      <w:pPr>
        <w:pStyle w:val="ListNumber"/>
      </w:pPr>
      <w:r>
        <w:rPr>
          <w:b w:val="0"/>
          <w:i w:val="0"/>
        </w:rPr>
        <w:t>To clear finer filtering, click the × on the active filter chip, or reset the top-level value to Not Selected.</w:t>
      </w:r>
    </w:p>
    <w:p>
      <w:pPr>
        <w:pStyle w:val="Heading4"/>
      </w:pPr>
      <w:r>
        <w:rPr>
          <w:b w:val="0"/>
          <w:i w:val="0"/>
        </w:rP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Attribute</w:t>
            </w:r>
          </w:p>
        </w:tc>
        <w:tc>
          <w:tcPr>
            <w:tcW w:type="dxa" w:w="2160"/>
          </w:tcPr>
          <w:p>
            <w:r/>
            <w:r>
              <w:rPr>
                <w:b/>
              </w:rPr>
              <w:t>Trigger Value</w:t>
            </w:r>
          </w:p>
        </w:tc>
        <w:tc>
          <w:tcPr>
            <w:tcW w:type="dxa" w:w="2160"/>
          </w:tcPr>
          <w:p>
            <w:r/>
            <w:r>
              <w:rPr>
                <w:b/>
              </w:rPr>
              <w:t>Sub-category Options</w:t>
            </w:r>
          </w:p>
        </w:tc>
        <w:tc>
          <w:tcPr>
            <w:tcW w:type="dxa" w:w="2160"/>
          </w:tcPr>
          <w:p>
            <w:r/>
            <w:r>
              <w:rPr>
                <w:b/>
              </w:rPr>
              <w:t>Map Colour Logic</w:t>
            </w:r>
          </w:p>
        </w:tc>
      </w:tr>
      <w:tr>
        <w:tc>
          <w:tcPr>
            <w:tcW w:type="dxa" w:w="2160"/>
          </w:tcPr>
          <w:p>
            <w:r/>
            <w:r>
              <w:t>Facility Width per Direction</w:t>
            </w:r>
          </w:p>
        </w:tc>
        <w:tc>
          <w:tcPr>
            <w:tcW w:type="dxa" w:w="2160"/>
          </w:tcPr>
          <w:p>
            <w:r/>
            <w:r>
              <w:t>Very Narrow</w:t>
            </w:r>
          </w:p>
        </w:tc>
        <w:tc>
          <w:tcPr>
            <w:tcW w:type="dxa" w:w="2160"/>
          </w:tcPr>
          <w:p>
            <w:r/>
            <w:r>
              <w:t>≤1.5 m · &gt;1.5–1.8 m · &gt;1.8–&lt;2 m</w:t>
            </w:r>
          </w:p>
        </w:tc>
        <w:tc>
          <w:tcPr>
            <w:tcW w:type="dxa" w:w="2160"/>
          </w:tcPr>
          <w:p>
            <w:r/>
            <w:r>
              <w:t>Red → Orange → Amber (narrower = more risk)</w:t>
            </w:r>
          </w:p>
        </w:tc>
      </w:tr>
      <w:tr>
        <w:tc>
          <w:tcPr>
            <w:tcW w:type="dxa" w:w="2160"/>
          </w:tcPr>
          <w:p>
            <w:r/>
            <w:r>
              <w:t>Facility Width per Direction</w:t>
            </w:r>
          </w:p>
        </w:tc>
        <w:tc>
          <w:tcPr>
            <w:tcW w:type="dxa" w:w="2160"/>
          </w:tcPr>
          <w:p>
            <w:r/>
            <w:r>
              <w:t>Narrow</w:t>
            </w:r>
          </w:p>
        </w:tc>
        <w:tc>
          <w:tcPr>
            <w:tcW w:type="dxa" w:w="2160"/>
          </w:tcPr>
          <w:p>
            <w:r/>
            <w:r>
              <w:t>2–&lt;3.5 m · 3.5–4 m</w:t>
            </w:r>
          </w:p>
        </w:tc>
        <w:tc>
          <w:tcPr>
            <w:tcW w:type="dxa" w:w="2160"/>
          </w:tcPr>
          <w:p>
            <w:r/>
            <w:r>
              <w:t>Green shades</w:t>
            </w:r>
          </w:p>
        </w:tc>
      </w:tr>
      <w:tr>
        <w:tc>
          <w:tcPr>
            <w:tcW w:type="dxa" w:w="2160"/>
          </w:tcPr>
          <w:p>
            <w:r/>
            <w:r>
              <w:t>Facility Width per Direction</w:t>
            </w:r>
          </w:p>
        </w:tc>
        <w:tc>
          <w:tcPr>
            <w:tcW w:type="dxa" w:w="2160"/>
          </w:tcPr>
          <w:p>
            <w:r/>
            <w:r>
              <w:t>Wide</w:t>
            </w:r>
          </w:p>
        </w:tc>
        <w:tc>
          <w:tcPr>
            <w:tcW w:type="dxa" w:w="2160"/>
          </w:tcPr>
          <w:p>
            <w:r/>
            <w:r>
              <w:t>&gt;4 m</w:t>
            </w:r>
          </w:p>
        </w:tc>
        <w:tc>
          <w:tcPr>
            <w:tcW w:type="dxa" w:w="2160"/>
          </w:tcPr>
          <w:p>
            <w:r/>
            <w:r>
              <w:t>Blue</w:t>
            </w:r>
          </w:p>
        </w:tc>
      </w:tr>
      <w:tr>
        <w:tc>
          <w:tcPr>
            <w:tcW w:type="dxa" w:w="2160"/>
          </w:tcPr>
          <w:p>
            <w:r/>
            <w:r>
              <w:t>Curvature</w:t>
            </w:r>
          </w:p>
        </w:tc>
        <w:tc>
          <w:tcPr>
            <w:tcW w:type="dxa" w:w="2160"/>
          </w:tcPr>
          <w:p>
            <w:r/>
            <w:r>
              <w:t>Sharp Turn Present</w:t>
            </w:r>
          </w:p>
        </w:tc>
        <w:tc>
          <w:tcPr>
            <w:tcW w:type="dxa" w:w="2160"/>
          </w:tcPr>
          <w:p>
            <w:r/>
            <w:r>
              <w:t>&lt;6.5 m (footpath threshold) · 6.5–&lt;10 m · Path Junction</w:t>
            </w:r>
          </w:p>
        </w:tc>
        <w:tc>
          <w:tcPr>
            <w:tcW w:type="dxa" w:w="2160"/>
          </w:tcPr>
          <w:p>
            <w:r/>
            <w:r>
              <w:t>Red · Orange · Purple</w:t>
            </w:r>
          </w:p>
        </w:tc>
      </w:tr>
      <w:tr>
        <w:tc>
          <w:tcPr>
            <w:tcW w:type="dxa" w:w="2160"/>
          </w:tcPr>
          <w:p>
            <w:r/>
            <w:r>
              <w:t>Curvature</w:t>
            </w:r>
          </w:p>
        </w:tc>
        <w:tc>
          <w:tcPr>
            <w:tcW w:type="dxa" w:w="2160"/>
          </w:tcPr>
          <w:p>
            <w:r/>
            <w:r>
              <w:t>No Sharp Turn Present</w:t>
            </w:r>
          </w:p>
        </w:tc>
        <w:tc>
          <w:tcPr>
            <w:tcW w:type="dxa" w:w="2160"/>
          </w:tcPr>
          <w:p>
            <w:r/>
            <w:r>
              <w:t>10–18 m · &gt;18 m (cycling path threshold ≥18 m)</w:t>
            </w:r>
          </w:p>
        </w:tc>
        <w:tc>
          <w:tcPr>
            <w:tcW w:type="dxa" w:w="2160"/>
          </w:tcPr>
          <w:p>
            <w:r/>
            <w:r>
              <w:t>Green · Blue</w:t>
            </w:r>
          </w:p>
        </w:tc>
      </w:tr>
      <w:tr>
        <w:tc>
          <w:tcPr>
            <w:tcW w:type="dxa" w:w="2160"/>
          </w:tcPr>
          <w:p>
            <w:r/>
            <w:r>
              <w:t>Fixed Obstacle on Facility</w:t>
            </w:r>
          </w:p>
        </w:tc>
        <w:tc>
          <w:tcPr>
            <w:tcW w:type="dxa" w:w="2160"/>
          </w:tcPr>
          <w:p>
            <w:r/>
            <w:r>
              <w:t>Present</w:t>
            </w:r>
          </w:p>
        </w:tc>
        <w:tc>
          <w:tcPr>
            <w:tcW w:type="dxa" w:w="2160"/>
          </w:tcPr>
          <w:p>
            <w:r/>
            <w:r>
              <w:t>Lamp Post · Traffic Light · Covered Linkway Pole · Bollard · Billboard · Sign Pole · Utility Box · Railing · Vegetation · Others</w:t>
            </w:r>
          </w:p>
        </w:tc>
        <w:tc>
          <w:tcPr>
            <w:tcW w:type="dxa" w:w="2160"/>
          </w:tcPr>
          <w:p>
            <w:r/>
            <w:r>
              <w:t>Unique colour per type; unrecognised types standardised to Others</w:t>
            </w:r>
          </w:p>
        </w:tc>
      </w:tr>
      <w:tr>
        <w:tc>
          <w:tcPr>
            <w:tcW w:type="dxa" w:w="2160"/>
          </w:tcPr>
          <w:p>
            <w:r/>
            <w:r>
              <w:t>Non-Fixed Obstacle on Facility</w:t>
            </w:r>
          </w:p>
        </w:tc>
        <w:tc>
          <w:tcPr>
            <w:tcW w:type="dxa" w:w="2160"/>
          </w:tcPr>
          <w:p>
            <w:r/>
            <w:r>
              <w:t>Present</w:t>
            </w:r>
          </w:p>
        </w:tc>
        <w:tc>
          <w:tcPr>
            <w:tcW w:type="dxa" w:w="2160"/>
          </w:tcPr>
          <w:p>
            <w:r/>
            <w:r>
              <w:t>Barrier · Bin · Bicycle · Cone · Others</w:t>
            </w:r>
          </w:p>
        </w:tc>
        <w:tc>
          <w:tcPr>
            <w:tcW w:type="dxa" w:w="2160"/>
          </w:tcPr>
          <w:p>
            <w:r/>
            <w:r>
              <w:t>Unique colour per type; unrecognised types standardised to Others</w:t>
            </w:r>
          </w:p>
        </w:tc>
      </w:tr>
      <w:tr>
        <w:tc>
          <w:tcPr>
            <w:tcW w:type="dxa" w:w="2160"/>
          </w:tcPr>
          <w:p>
            <w:r/>
            <w:r>
              <w:t>Delineation</w:t>
            </w:r>
          </w:p>
        </w:tc>
        <w:tc>
          <w:tcPr>
            <w:tcW w:type="dxa" w:w="2160"/>
          </w:tcPr>
          <w:p>
            <w:r/>
            <w:r>
              <w:t>Present</w:t>
            </w:r>
          </w:p>
        </w:tc>
        <w:tc>
          <w:tcPr>
            <w:tcW w:type="dxa" w:w="2160"/>
          </w:tcPr>
          <w:p>
            <w:r/>
            <w:r>
              <w:t>Cycling Path · Red Stripe · Signalised Crossing · Traffic Crossing · Zebra Crossing</w:t>
            </w:r>
          </w:p>
        </w:tc>
        <w:tc>
          <w:tcPr>
            <w:tcW w:type="dxa" w:w="2160"/>
          </w:tcPr>
          <w:p>
            <w:r/>
            <w:r>
              <w:t>Unique colour per type</w:t>
            </w:r>
          </w:p>
        </w:tc>
      </w:tr>
      <w:tr>
        <w:tc>
          <w:tcPr>
            <w:tcW w:type="dxa" w:w="2160"/>
          </w:tcPr>
          <w:p>
            <w:r/>
            <w:r>
              <w:t>Delineation</w:t>
            </w:r>
          </w:p>
        </w:tc>
        <w:tc>
          <w:tcPr>
            <w:tcW w:type="dxa" w:w="2160"/>
          </w:tcPr>
          <w:p>
            <w:r/>
            <w:r>
              <w:t>Not Present</w:t>
            </w:r>
          </w:p>
        </w:tc>
        <w:tc>
          <w:tcPr>
            <w:tcW w:type="dxa" w:w="2160"/>
          </w:tcPr>
          <w:p>
            <w:r/>
            <w:r>
              <w:t>Faded Marking</w:t>
            </w:r>
          </w:p>
        </w:tc>
        <w:tc>
          <w:tcPr>
            <w:tcW w:type="dxa" w:w="2160"/>
          </w:tcPr>
          <w:p>
            <w:r/>
            <w:r>
              <w:t>Unique colour per type</w:t>
            </w:r>
          </w:p>
        </w:tc>
      </w:tr>
      <w:tr>
        <w:tc>
          <w:tcPr>
            <w:tcW w:type="dxa" w:w="2160"/>
          </w:tcPr>
          <w:p>
            <w:r/>
            <w:r>
              <w:t>Crossing Facility</w:t>
            </w:r>
          </w:p>
        </w:tc>
        <w:tc>
          <w:tcPr>
            <w:tcW w:type="dxa" w:w="2160"/>
          </w:tcPr>
          <w:p>
            <w:r/>
            <w:r>
              <w:t>Present</w:t>
            </w:r>
          </w:p>
        </w:tc>
        <w:tc>
          <w:tcPr>
            <w:tcW w:type="dxa" w:w="2160"/>
          </w:tcPr>
          <w:p>
            <w:r/>
            <w:r>
              <w:t>Zebra Crossing · Signalised PC · Bicycle Crossing · Unsignalised Junction · Development Access</w:t>
            </w:r>
          </w:p>
        </w:tc>
        <w:tc>
          <w:tcPr>
            <w:tcW w:type="dxa" w:w="2160"/>
          </w:tcPr>
          <w:p>
            <w:r/>
            <w:r>
              <w:t>Unique colour per type</w:t>
            </w:r>
          </w:p>
        </w:tc>
      </w:tr>
      <w:tr>
        <w:tc>
          <w:tcPr>
            <w:tcW w:type="dxa" w:w="2160"/>
          </w:tcPr>
          <w:p>
            <w:r/>
            <w:r>
              <w:t>Major Surface Deformation or Drain Opening</w:t>
            </w:r>
          </w:p>
        </w:tc>
        <w:tc>
          <w:tcPr>
            <w:tcW w:type="dxa" w:w="2160"/>
          </w:tcPr>
          <w:p>
            <w:r/>
            <w:r>
              <w:t>Present</w:t>
            </w:r>
          </w:p>
        </w:tc>
        <w:tc>
          <w:tcPr>
            <w:tcW w:type="dxa" w:w="2160"/>
          </w:tcPr>
          <w:p>
            <w:r/>
            <w:r>
              <w:t>Footpath crack · Uneven Footpath</w:t>
            </w:r>
          </w:p>
        </w:tc>
        <w:tc>
          <w:tcPr>
            <w:tcW w:type="dxa" w:w="2160"/>
          </w:tcPr>
          <w:p>
            <w:r/>
            <w:r>
              <w:t>Unique colour per type</w:t>
            </w:r>
          </w:p>
        </w:tc>
      </w:tr>
    </w:tbl>
    <w:p>
      <w:pPr>
        <w:pStyle w:val="Heading4"/>
      </w:pPr>
      <w:r>
        <w:rPr>
          <w:b w:val="0"/>
          <w:i w:val="0"/>
        </w:rPr>
        <w:t>Correcting Wrong Sub-category Colours</w:t>
      </w:r>
    </w:p>
    <w:p>
      <w:pPr/>
      <w:r>
        <w:rPr>
          <w:b w:val="0"/>
          <w:i w:val="0"/>
        </w:rPr>
        <w:t>If the map shows unexpected colours when a sub-category filter is active, this usually means the source attribute was coded with an incorrect or missing sub-type value.</w:t>
      </w:r>
    </w:p>
    <w:p>
      <w:pPr>
        <w:pStyle w:val="ListNumber"/>
      </w:pPr>
      <w:r>
        <w:rPr>
          <w:b w:val="0"/>
          <w:i w:val="0"/>
        </w:rPr>
        <w:t>Click the affected segment on the map to select it.</w:t>
      </w:r>
    </w:p>
    <w:p>
      <w:pPr>
        <w:pStyle w:val="ListNumber"/>
      </w:pPr>
      <w:r>
        <w:rPr>
          <w:b w:val="0"/>
          <w:i w:val="0"/>
        </w:rPr>
        <w:t>Click Open in Coding (or navigate to the Coding page from the sidebar).</w:t>
      </w:r>
    </w:p>
    <w:p>
      <w:pPr>
        <w:pStyle w:val="ListNumber"/>
      </w:pPr>
      <w:r>
        <w:rPr>
          <w:b w:val="0"/>
          <w:i w:val="0"/>
        </w:rPr>
        <w:t>In the attribute table, find the relevant attribute (e.g. Fixed Obstacle Type for Fixed Obstacle on Facility).</w:t>
      </w:r>
    </w:p>
    <w:p>
      <w:pPr>
        <w:pStyle w:val="ListNumber"/>
      </w:pPr>
      <w:r>
        <w:rPr>
          <w:b w:val="0"/>
          <w:i w:val="0"/>
        </w:rPr>
        <w:t>Correct the value to the appropriate sub-type from the dropdown.</w:t>
      </w:r>
    </w:p>
    <w:p>
      <w:pPr>
        <w:pStyle w:val="ListNumber"/>
      </w:pPr>
      <w:r>
        <w:rPr>
          <w:b w:val="0"/>
          <w:i w:val="0"/>
        </w:rPr>
        <w:t>Click Save to persist the change and recalculate risk scores.</w:t>
      </w:r>
    </w:p>
    <w:p>
      <w:pPr>
        <w:pStyle w:val="ListNumber"/>
      </w:pPr>
      <w:r>
        <w:rPr>
          <w:b w:val="0"/>
          <w:i w:val="0"/>
        </w:rPr>
        <w:t>Click Back to Analysis in the sidebar to return to Path Analysis.</w:t>
      </w:r>
    </w:p>
    <w:p>
      <w:pPr>
        <w:pStyle w:val="ListNumber"/>
      </w:pPr>
      <w:r>
        <w:rPr>
          <w:b w:val="0"/>
          <w:i w:val="0"/>
        </w:rPr>
        <w:t>Re-apply the same filter — the corrected colour will now appear on the map.</w:t>
      </w:r>
    </w:p>
    <w:p>
      <w:pPr/>
      <w:r>
        <w:rPr>
          <w:b w:val="0"/>
          <w:i/>
        </w:rPr>
        <w:t>This also applies when the CV auto-coder assigns a sub-type incorrectly. The Coding page lets you override any auto-coded value and is the authoritative source for what appears in the filters.</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r>
        <w:rPr>
          <w:b/>
          <w:i/>
        </w:rPr>
        <w:t>What's new in v2:</w:t>
      </w:r>
      <w:r>
        <w:rPr>
          <w:b w:val="0"/>
          <w:i/>
        </w:rPr>
        <w:t xml:space="preserve"> The Treatment Application page was fully redesigned. The core workflow below (select projects → choose By Segment/By Treatment → preview → Apply) is unchanged; what moved is the page chrome:</w:t>
      </w:r>
    </w:p>
    <w:p>
      <w:pPr>
        <w:pStyle w:val="ListBullet"/>
      </w:pPr>
      <w:r>
        <w:rPr>
          <w:b/>
          <w:i w:val="0"/>
        </w:rPr>
        <w:t>On-canvas action row</w:t>
      </w:r>
      <w:r>
        <w:rPr>
          <w:b w:val="0"/>
          <w:i w:val="0"/>
        </w:rPr>
        <w:t xml:space="preserve"> — </w:t>
      </w:r>
      <w:r>
        <w:rPr>
          <w:b/>
          <w:i w:val="0"/>
        </w:rPr>
        <w:t>Save</w:t>
      </w:r>
      <w:r>
        <w:rPr>
          <w:b w:val="0"/>
          <w:i w:val="0"/>
        </w:rPr>
        <w:t xml:space="preserve">, </w:t>
      </w:r>
      <w:r>
        <w:rPr>
          <w:b/>
          <w:i w:val="0"/>
        </w:rPr>
        <w:t>Reset All</w:t>
      </w:r>
      <w:r>
        <w:rPr>
          <w:b w:val="0"/>
          <w:i w:val="0"/>
        </w:rPr>
        <w:t xml:space="preserve">, and </w:t>
      </w:r>
      <w:r>
        <w:rPr>
          <w:b/>
          <w:i w:val="0"/>
        </w:rPr>
        <w:t>Generate/Continue Report</w:t>
      </w:r>
      <w:r>
        <w:rPr>
          <w:b w:val="0"/>
          <w:i w:val="0"/>
        </w:rPr>
        <w:t xml:space="preserve"> now sit in the page title row instead of the sidebar. There is no dedicated </w:t>
      </w:r>
      <w:r>
        <w:rPr>
          <w:b/>
          <w:i w:val="0"/>
        </w:rPr>
        <w:t>Exit</w:t>
      </w:r>
      <w:r>
        <w:rPr>
          <w:b w:val="0"/>
          <w:i w:val="0"/>
        </w:rPr>
        <w:t xml:space="preserve"> button in v2 — clicking any other sidebar link (Home, Quick Select, etc.) takes you straight there.</w:t>
      </w:r>
    </w:p>
    <w:p>
      <w:pPr>
        <w:pStyle w:val="ListBullet"/>
      </w:pPr>
      <w:r>
        <w:rPr>
          <w:b/>
          <w:i w:val="0"/>
        </w:rPr>
        <w:t>“Treat All Segments”</w:t>
      </w:r>
      <w:r>
        <w:rPr>
          <w:b w:val="0"/>
          <w:i w:val="0"/>
        </w:rPr>
        <w:t xml:space="preserve"> (the v1 sidebar shortcut that applied one treatment to every segment regardless of relevance) has been removed. Use </w:t>
      </w:r>
      <w:r>
        <w:rPr>
          <w:b/>
          <w:i w:val="0"/>
        </w:rPr>
        <w:t>By Treatment</w:t>
      </w:r>
      <w:r>
        <w:rPr>
          <w:b w:val="0"/>
          <w:i w:val="0"/>
        </w:rPr>
        <w:t xml:space="preserve"> mode (Step 3) instead — it already limits bulk-apply to segments the treatment is actually eligible for.</w:t>
      </w:r>
    </w:p>
    <w:p>
      <w:pPr>
        <w:pStyle w:val="ListBullet"/>
      </w:pPr>
      <w:r>
        <w:rPr>
          <w:b/>
          <w:i w:val="0"/>
        </w:rPr>
        <w:t>Unsaved-changes guard</w:t>
      </w:r>
      <w:r>
        <w:rPr>
          <w:b w:val="0"/>
          <w:i w:val="0"/>
        </w:rPr>
        <w:t xml:space="preserve"> — segment-by-segment treatment toggles (By Segment mode) auto-save as you go. The only state that can be lost is a </w:t>
      </w:r>
      <w:r>
        <w:rPr>
          <w:b/>
          <w:i w:val="0"/>
        </w:rPr>
        <w:t>staged bulk selection in By Treatment mode that you haven't clicked Apply on yet</w:t>
      </w:r>
      <w:r>
        <w:rPr>
          <w:b w:val="0"/>
          <w:i w:val="0"/>
        </w:rPr>
        <w:t xml:space="preserve"> — navigating away with such a selection pending shows a Save / Discard / Cancel prompt.</w:t>
      </w:r>
    </w:p>
    <w:p>
      <w:pPr>
        <w:pStyle w:val="ListBullet"/>
      </w:pPr>
      <w:r>
        <w:rPr>
          <w:b/>
          <w:i w:val="0"/>
        </w:rPr>
        <w:t>Segment stepper + Effectiveness readout</w:t>
      </w:r>
      <w:r>
        <w:rPr>
          <w:b w:val="0"/>
          <w:i w:val="0"/>
        </w:rPr>
        <w:t xml:space="preserve"> — the segment navigator and an </w:t>
      </w:r>
      <w:r>
        <w:rPr>
          <w:b/>
          <w:i w:val="0"/>
        </w:rPr>
        <w:t>Effectiveness</w:t>
      </w:r>
      <w:r>
        <w:rPr>
          <w:b w:val="0"/>
          <w:i w:val="0"/>
        </w:rPr>
        <w:t xml:space="preserve"> percentage (the share of in-scope segments whose overall risk band improved) now sit together in a context strip below the project tabs.</w:t>
      </w:r>
    </w:p>
    <w:p>
      <w:pPr>
        <w:pStyle w:val="ListBullet"/>
      </w:pPr>
      <w:r>
        <w:rPr>
          <w:b/>
          <w:i w:val="0"/>
        </w:rPr>
        <w:t>Overall Risk Level (bottom section)</w:t>
      </w:r>
      <w:r>
        <w:rPr>
          <w:b w:val="0"/>
          <w:i w:val="0"/>
        </w:rPr>
        <w:t xml:space="preserve"> — the “Overall Treatment Analysis” pie charts (Step 9) are replaced by </w:t>
      </w:r>
      <w:r>
        <w:rPr>
          <w:b/>
          <w:i w:val="0"/>
        </w:rPr>
        <w:t>Before/After stacked risk-band bars</w:t>
      </w:r>
      <w:r>
        <w:rPr>
          <w:b w:val="0"/>
          <w:i w:val="0"/>
        </w:rPr>
        <w:t xml:space="preserve"> per crash type, matching the style used on the Coding and Path Analysis pages.</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r>
        <w:rPr>
          <w:b/>
          <w:i/>
        </w:rPr>
        <w:t>v2 tip:</w:t>
      </w:r>
      <w:r>
        <w:rPr>
          <w:b w:val="0"/>
          <w:i/>
        </w:rPr>
        <w:t xml:space="preserve"> You can also jump straight into Treatment Application from any page using </w:t>
      </w:r>
      <w:r>
        <w:rPr>
          <w:b/>
          <w:i/>
        </w:rPr>
        <w:t>Quick Select</w:t>
      </w:r>
      <w:r>
        <w:rPr>
          <w:b w:val="0"/>
          <w:i/>
        </w:rPr>
        <w:t xml:space="preserve"> in the sidebar — see Section 1.6.</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r>
        <w:rPr>
          <w:b/>
          <w:i/>
        </w:rPr>
        <w:t>v2 layout:</w:t>
      </w:r>
      <w:r>
        <w:rPr>
          <w:b w:val="0"/>
          <w:i/>
        </w:rPr>
        <w:t xml:space="preserve"> This section is shown as </w:t>
      </w:r>
      <w:r>
        <w:rPr>
          <w:b/>
          <w:i/>
        </w:rPr>
        <w:t>Before/After “Overall Risk Level” cards</w:t>
      </w:r>
      <w:r>
        <w:rPr>
          <w:b w:val="0"/>
          <w:i/>
        </w:rPr>
        <w:t xml:space="preserve"> — stacked horizontal risk-band bars per crash type, with the same hover detail (count and percentage) as the equivalent Path Analysis and Coding charts — instead of pie charts. The underlying data and per-tab (All Projects / specific project) behaviour is identical.</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r>
        <w:rPr>
          <w:b w:val="0"/>
          <w:i w:val="0"/>
        </w:rPr>
        <w:t xml:space="preserve">, or use the on-canvas </w:t>
      </w:r>
      <w:r>
        <w:rPr>
          <w:b/>
          <w:i w:val="0"/>
        </w:rPr>
        <w:t>Reset All</w:t>
      </w:r>
      <w:r>
        <w:rPr>
          <w:b w:val="0"/>
          <w:i w:val="0"/>
        </w:rPr>
        <w:t xml:space="preserve"> button (v2) / sidebar </w:t>
      </w:r>
      <w:r>
        <w:rPr>
          <w:b/>
          <w:i w:val="0"/>
        </w:rPr>
        <w:t>Reset All</w:t>
      </w:r>
      <w:r>
        <w:rPr>
          <w:b w:val="0"/>
          <w:i w:val="0"/>
        </w:rPr>
        <w:t xml:space="preserve"> (v1) to reset every applied treatment across the loaded project(s) in one action.</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r>
        <w:rPr>
          <w:b/>
          <w:i/>
        </w:rPr>
        <w:t>v2 status:</w:t>
      </w:r>
      <w:r>
        <w:rPr>
          <w:b w:val="0"/>
          <w:i/>
        </w:rPr>
        <w:t xml:space="preserve"> Unlike the Home, Coding, Path Analysis, and Treatment Application pages, the Report Builder (and the Generated Reports page) has </w:t>
      </w:r>
      <w:r>
        <w:rPr>
          <w:b/>
          <w:i/>
        </w:rPr>
        <w:t>not</w:t>
      </w:r>
      <w:r>
        <w:rPr>
          <w:b w:val="0"/>
          <w:i/>
        </w:rPr>
        <w:t xml:space="preserve"> been fully redesigned for v2 — it only picks up small visual touch-ups (rounded corners, teal accent buttons) when v2 is active. The panel layout, toolbar, and workflow described below are the same in both v1 and v2. A full v2 redesign of this page is planned but not yet scheduled.</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Generated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pPr/>
      <w:r>
        <w:rPr>
          <w:b/>
          <w:i w:val="0"/>
        </w:rPr>
        <w:t>Adding a post-treatment image:</w:t>
      </w:r>
    </w:p>
    <w:p>
      <w:pPr/>
      <w:r>
        <w:rPr>
          <w:b w:val="0"/>
          <w:i w:val="0"/>
        </w:rPr>
        <w:t>Each top-risk segment shows the survey photo as the before image, with a post-treatment image area alongside it — this appears for every segment, whether or not a treatment has actually been recorded for it. There are two ways to add the after photo:</w:t>
      </w:r>
    </w:p>
    <w:p>
      <w:pPr>
        <w:pStyle w:val="ListBullet"/>
      </w:pPr>
      <w:r>
        <w:rPr>
          <w:b/>
          <w:i w:val="0"/>
        </w:rPr>
        <w:t>Upload Treatment Image</w:t>
      </w:r>
      <w:r>
        <w:rPr>
          <w:b w:val="0"/>
          <w:i w:val="0"/>
        </w:rPr>
        <w:t xml:space="preserve"> — click the button under the post-treatment panel to pick an image file directly from your computer. This is the quickest option if you already have a photo (e.g. from a completed on-site treatment).</w:t>
      </w:r>
    </w:p>
    <w:p>
      <w:pPr>
        <w:pStyle w:val="ListBullet"/>
      </w:pPr>
      <w:r>
        <w:rPr>
          <w:b/>
          <w:i w:val="0"/>
        </w:rPr>
        <w:t>Paste an AI-generated image</w:t>
      </w:r>
      <w:r>
        <w:rPr>
          <w:b w:val="0"/>
          <w:i w:val="0"/>
        </w:rPr>
        <w:t xml:space="preserve"> — in the Treatment Page, use the AI Prompt feature to generate an after-treatment visualisation, copy the image to your clipboard, then click the image area of the relevant segment in the Report Builder and press Ctrl+V to paste.</w:t>
      </w:r>
    </w:p>
    <w:p>
      <w:pPr/>
      <w:r>
        <w:rPr>
          <w:b w:val="0"/>
          <w:i w:val="0"/>
        </w:rPr>
        <w:t xml:space="preserve">If a segment already has a post-treatment image, click </w:t>
      </w:r>
      <w:r>
        <w:rPr>
          <w:b/>
          <w:i w:val="0"/>
        </w:rPr>
        <w:t>Change Image</w:t>
      </w:r>
      <w:r>
        <w:rPr>
          <w:b w:val="0"/>
          <w:i w:val="0"/>
        </w:rPr>
        <w:t xml:space="preserve"> to replace it — the new image appears immediately, both in the Report Builder preview and on the Treatment Application page for that segment.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PDF exports are auto-archived.</w:t>
      </w:r>
      <w:r>
        <w:rPr>
          <w:b w:val="0"/>
          <w:i/>
        </w:rPr>
        <w:t xml:space="preserve"> Every time you click </w:t>
      </w:r>
      <w:r>
        <w:rPr>
          <w:b/>
          <w:i/>
        </w:rPr>
        <w:t>↓ PDF</w:t>
      </w:r>
      <w:r>
        <w:rPr>
          <w:b w:val="0"/>
          <w:i/>
        </w:rPr>
        <w:t xml:space="preserve">, PSAT downloads the file to your browser </w:t>
      </w:r>
      <w:r>
        <w:rPr>
          <w:b/>
          <w:i/>
        </w:rPr>
        <w:t>and</w:t>
      </w:r>
      <w:r>
        <w:rPr>
          <w:b w:val="0"/>
          <w:i/>
        </w:rPr>
        <w:t xml:space="preserve"> silently saves a timestamped copy to the server's </w:t>
      </w:r>
      <w:r>
        <w:rPr>
          <w:b/>
          <w:i/>
        </w:rPr>
        <w:t>Generated Reports</w:t>
      </w:r>
      <w:r>
        <w:rPr>
          <w:b w:val="0"/>
          <w:i/>
        </w:rPr>
        <w:t xml:space="preserve"> page (see Section 5.6), so you can come back and re-download or preview it later without regenerating it. This auto-save only happens for </w:t>
      </w:r>
      <w:r>
        <w:rPr>
          <w:b/>
          <w:i/>
        </w:rPr>
        <w:t>↓ PDF</w:t>
      </w:r>
      <w:r>
        <w:rPr>
          <w:b w:val="0"/>
          <w:i/>
        </w:rPr>
        <w:t xml:space="preserve"> — </w:t>
      </w:r>
      <w:r>
        <w:rPr>
          <w:b/>
          <w:i/>
        </w:rPr>
        <w:t>↓ Word</w:t>
      </w:r>
      <w:r>
        <w:rPr>
          <w:b w:val="0"/>
          <w:i/>
        </w:rPr>
        <w:t xml:space="preserve"> downloads are not archived.</w:t>
      </w:r>
    </w:p>
    <w:p>
      <w:pPr>
        <w:pBdr>
          <w:bottom w:val="single" w:sz="6" w:space="1" w:color="A0AEC0"/>
        </w:pBdr>
      </w:pPr>
    </w:p>
    <w:p>
      <w:bookmarkStart w:id="0" w:name="f4_56_saved_reports"/>
      <w:pPr>
        <w:pStyle w:val="Heading2"/>
      </w:pPr>
      <w:bookmarkEnd w:id="0"/>
      <w:r>
        <w:rPr>
          <w:b w:val="0"/>
          <w:i w:val="0"/>
        </w:rPr>
        <w:t>5.6 Generated Reports</w:t>
      </w:r>
    </w:p>
    <w:p>
      <w:r>
        <w:rPr>
          <w:b w:val="0"/>
          <w:i w:val="0"/>
        </w:rPr>
        <w:t xml:space="preserve">Every PDF you export from the Report Builder is saved here automatically, so you don't need to keep track of downloaded files yourself. Access it from the </w:t>
      </w:r>
      <w:r>
        <w:rPr>
          <w:b/>
          <w:i w:val="0"/>
        </w:rPr>
        <w:t>Generated Reports</w:t>
      </w:r>
      <w:r>
        <w:rPr>
          <w:b w:val="0"/>
          <w:i w:val="0"/>
        </w:rPr>
        <w:t xml:space="preserve"> button in the sidebar (below </w:t>
      </w:r>
      <w:r>
        <w:rPr>
          <w:b/>
          <w:i w:val="0"/>
        </w:rPr>
        <w:t>GIS Layers</w:t>
      </w:r>
      <w:r>
        <w:rPr>
          <w:b w:val="0"/>
          <w:i w:val="0"/>
        </w:rPr>
        <w:t xml:space="preserve"> / </w:t>
      </w:r>
      <w:r>
        <w:rPr>
          <w:b/>
          <w:i w:val="0"/>
        </w:rPr>
        <w:t>User Guide</w:t>
      </w:r>
      <w:r>
        <w:rPr>
          <w:b w:val="0"/>
          <w:i w:val="0"/>
        </w:rPr>
        <w:t>).</w:t>
      </w:r>
    </w:p>
    <w:p>
      <w:pPr/>
      <w:r>
        <w:rPr>
          <w:b/>
          <w:i w:val="0"/>
        </w:rPr>
        <w:t>Saved Reports list (left panel):</w:t>
      </w:r>
    </w:p>
    <w:p>
      <w:pPr>
        <w:pStyle w:val="ListBullet"/>
      </w:pPr>
      <w:r>
        <w:rPr>
          <w:b w:val="0"/>
          <w:i w:val="0"/>
        </w:rPr>
        <w:t xml:space="preserve">Each entry shows the saved </w:t>
      </w:r>
      <w:r>
        <w:rPr>
          <w:b/>
          <w:i w:val="0"/>
        </w:rPr>
        <w:t>filename</w:t>
      </w:r>
      <w:r>
        <w:rPr>
          <w:b w:val="0"/>
          <w:i w:val="0"/>
        </w:rPr>
        <w:t xml:space="preserve"> (auto-named </w:t>
      </w:r>
      <w:r>
        <w:rPr>
          <w:rFonts w:ascii="Consolas" w:hAnsi="Consolas"/>
          <w:b w:val="0"/>
          <w:i w:val="0"/>
        </w:rPr>
        <w:t>PSAT_Report_&lt;timestamp&gt;.pdf</w:t>
      </w:r>
      <w:r>
        <w:rPr>
          <w:b w:val="0"/>
          <w:i w:val="0"/>
        </w:rPr>
        <w:t xml:space="preserve">), a </w:t>
      </w:r>
      <w:r>
        <w:rPr>
          <w:b/>
          <w:i w:val="0"/>
        </w:rPr>
        <w:t>PDF</w:t>
      </w:r>
      <w:r>
        <w:rPr>
          <w:b w:val="0"/>
          <w:i w:val="0"/>
        </w:rPr>
        <w:t xml:space="preserve"> badge, the </w:t>
      </w:r>
      <w:r>
        <w:rPr>
          <w:b/>
          <w:i w:val="0"/>
        </w:rPr>
        <w:t>file size</w:t>
      </w:r>
      <w:r>
        <w:rPr>
          <w:b w:val="0"/>
          <w:i w:val="0"/>
        </w:rPr>
        <w:t xml:space="preserve">, and the </w:t>
      </w:r>
      <w:r>
        <w:rPr>
          <w:b/>
          <w:i w:val="0"/>
        </w:rPr>
        <w:t>date/time it was saved</w:t>
      </w:r>
      <w:r>
        <w:rPr>
          <w:b w:val="0"/>
          <w:i w:val="0"/>
        </w:rPr>
        <w:t xml:space="preserve"> — newest first</w:t>
      </w:r>
    </w:p>
    <w:p>
      <w:pPr>
        <w:pStyle w:val="ListBullet"/>
      </w:pPr>
      <w:r>
        <w:rPr>
          <w:b w:val="0"/>
          <w:i w:val="0"/>
        </w:rPr>
        <w:t xml:space="preserve">Use the </w:t>
      </w:r>
      <w:r>
        <w:rPr>
          <w:b/>
          <w:i w:val="0"/>
        </w:rPr>
        <w:t>Filter reports…</w:t>
      </w:r>
      <w:r>
        <w:rPr>
          <w:b w:val="0"/>
          <w:i w:val="0"/>
        </w:rPr>
        <w:t xml:space="preserve"> box to narrow the list by filename</w:t>
      </w:r>
    </w:p>
    <w:p>
      <w:pPr>
        <w:pStyle w:val="ListBullet"/>
      </w:pPr>
      <w:r>
        <w:rPr>
          <w:b w:val="0"/>
          <w:i w:val="0"/>
        </w:rPr>
        <w:t xml:space="preserve">Click a report to select it and load a </w:t>
      </w:r>
      <w:r>
        <w:rPr>
          <w:b/>
          <w:i w:val="0"/>
        </w:rPr>
        <w:t>preview</w:t>
      </w:r>
      <w:r>
        <w:rPr>
          <w:b w:val="0"/>
          <w:i w:val="0"/>
        </w:rPr>
        <w:t xml:space="preserve"> in the right panel (an embedded PDF viewer)</w:t>
      </w:r>
    </w:p>
    <w:p>
      <w:pPr>
        <w:pStyle w:val="ListBullet"/>
      </w:pPr>
      <w:r>
        <w:rPr>
          <w:b w:val="0"/>
          <w:i w:val="0"/>
        </w:rPr>
        <w:t xml:space="preserve">Click the </w:t>
      </w:r>
      <w:r>
        <w:rPr>
          <w:b/>
          <w:i w:val="0"/>
        </w:rPr>
        <w:t>↓</w:t>
      </w:r>
      <w:r>
        <w:rPr>
          <w:b w:val="0"/>
          <w:i w:val="0"/>
        </w:rPr>
        <w:t xml:space="preserve"> icon on a report row, or </w:t>
      </w:r>
      <w:r>
        <w:rPr>
          <w:b/>
          <w:i w:val="0"/>
        </w:rPr>
        <w:t>Download</w:t>
      </w:r>
      <w:r>
        <w:rPr>
          <w:b w:val="0"/>
          <w:i w:val="0"/>
        </w:rPr>
        <w:t xml:space="preserve"> in the preview header, to download that file</w:t>
      </w:r>
    </w:p>
    <w:p>
      <w:pPr>
        <w:pStyle w:val="ListBullet"/>
      </w:pPr>
      <w:r>
        <w:rPr>
          <w:b w:val="0"/>
          <w:i w:val="0"/>
        </w:rPr>
        <w:t xml:space="preserve">Click the </w:t>
      </w:r>
      <w:r>
        <w:rPr>
          <w:b/>
          <w:i w:val="0"/>
        </w:rPr>
        <w:t>✕</w:t>
      </w:r>
      <w:r>
        <w:rPr>
          <w:b w:val="0"/>
          <w:i w:val="0"/>
        </w:rPr>
        <w:t xml:space="preserve"> icon on a report row, or </w:t>
      </w:r>
      <w:r>
        <w:rPr>
          <w:b/>
          <w:i w:val="0"/>
        </w:rPr>
        <w:t>Delete</w:t>
      </w:r>
      <w:r>
        <w:rPr>
          <w:b w:val="0"/>
          <w:i w:val="0"/>
        </w:rPr>
        <w:t xml:space="preserve"> in the preview header, to remove a report — you'll be asked to confirm (</w:t>
      </w:r>
      <w:r>
        <w:rPr>
          <w:b/>
          <w:i w:val="0"/>
        </w:rPr>
        <w:t>Yes</w:t>
      </w:r>
      <w:r>
        <w:rPr>
          <w:b w:val="0"/>
          <w:i w:val="0"/>
        </w:rPr>
        <w:t xml:space="preserve"> / </w:t>
      </w:r>
      <w:r>
        <w:rPr>
          <w:b/>
          <w:i w:val="0"/>
        </w:rPr>
        <w:t>No</w:t>
      </w:r>
      <w:r>
        <w:rPr>
          <w:b w:val="0"/>
          <w:i w:val="0"/>
        </w:rPr>
        <w:t>) before it's deleted</w:t>
      </w:r>
    </w:p>
    <w:p>
      <w:pPr>
        <w:pStyle w:val="ListBullet"/>
      </w:pPr>
      <w:r>
        <w:rPr>
          <w:b w:val="0"/>
          <w:i w:val="0"/>
        </w:rPr>
        <w:t xml:space="preserve">Click </w:t>
      </w:r>
      <w:r>
        <w:rPr>
          <w:b/>
          <w:i w:val="0"/>
        </w:rPr>
        <w:t>Refresh</w:t>
      </w:r>
      <w:r>
        <w:rPr>
          <w:b w:val="0"/>
          <w:i w:val="0"/>
        </w:rPr>
        <w:t xml:space="preserve"> (top-right of the page) to reload the list, e.g. after exporting a new report from another tab</w:t>
      </w:r>
    </w:p>
    <w:p>
      <w:pPr>
        <w:ind w:left="432"/>
        <w:pBdr>
          <w:left w:val="single" w:sz="12" w:space="4" w:color="CBD5E0"/>
        </w:pBdr>
      </w:pPr>
      <w:r>
        <w:rPr>
          <w:b w:val="0"/>
          <w:i w:val="0"/>
        </w:rPr>
        <w:t xml:space="preserve">If no reports have been saved yet, the list shows: </w:t>
      </w:r>
      <w:r>
        <w:rPr>
          <w:b w:val="0"/>
          <w:i/>
        </w:rPr>
        <w:t>"No reports found. Download a PDF from the Report Builder to save one here."</w:t>
      </w:r>
    </w:p>
    <w:p>
      <w:pPr/>
      <w:r>
        <w:rPr>
          <w:b/>
          <w:i/>
        </w:rPr>
        <w:t>Note:</w:t>
      </w:r>
      <w:r>
        <w:rPr>
          <w:b w:val="0"/>
          <w:i/>
        </w:rPr>
        <w:t xml:space="preserve"> Only </w:t>
      </w:r>
      <w:r>
        <w:rPr>
          <w:b/>
          <w:i/>
        </w:rPr>
        <w:t>↓ PDF</w:t>
      </w:r>
      <w:r>
        <w:rPr>
          <w:b w:val="0"/>
          <w:i/>
        </w:rPr>
        <w:t xml:space="preserve"> exports are archived here — </w:t>
      </w:r>
      <w:r>
        <w:rPr>
          <w:b/>
          <w:i/>
        </w:rPr>
        <w:t>↓ Word</w:t>
      </w:r>
      <w:r>
        <w:rPr>
          <w:b w:val="0"/>
          <w:i/>
        </w:rPr>
        <w:t xml:space="preserve"> (.docx) exports download directly to your browser and are not saved to this page. Deleting a report here only removes the saved copy on the server; it does not affect any copy you've already downloaded to your computer.</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 PDF</w:t>
      </w:r>
      <w:r>
        <w:rPr>
          <w:b w:val="0"/>
          <w:i w:val="0"/>
        </w:rPr>
        <w:t xml:space="preserve"> to export and automatically archive a copy to </w:t>
      </w:r>
      <w:r>
        <w:rPr>
          <w:b/>
          <w:i w:val="0"/>
        </w:rPr>
        <w:t>Generated Reports</w:t>
      </w:r>
      <w:r>
        <w:rPr>
          <w:b w:val="0"/>
          <w:i w:val="0"/>
        </w:rPr>
        <w:t xml:space="preserve">, or </w:t>
      </w:r>
      <w:r>
        <w:rPr>
          <w:b/>
          <w:i w:val="0"/>
        </w:rPr>
        <w:t>↓ Word</w:t>
      </w:r>
      <w:r>
        <w:rPr>
          <w:b w:val="0"/>
          <w:i w:val="0"/>
        </w:rPr>
        <w:t xml:space="preserve"> for a directly-downloaded, editable .docx (not archived).</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Style w:val="ListBullet"/>
      </w:pPr>
      <w:r>
        <w:rPr>
          <w:b w:val="0"/>
          <w:i w:val="0"/>
        </w:rPr>
        <w:t>6.9 Editing Required Columns and Affects</w:t>
      </w:r>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xml:space="preserve">, indicates the expected column index in the source data. Layers uploaded with this field left blank show </w:t>
      </w:r>
      <w:r>
        <w:rPr>
          <w:rFonts w:ascii="Consolas" w:hAnsi="Consolas"/>
          <w:b w:val="0"/>
          <w:i w:val="0"/>
        </w:rPr>
        <w:t>Required Columns: None</w:t>
      </w:r>
    </w:p>
    <w:p>
      <w:pPr>
        <w:pStyle w:val="ListBullet"/>
      </w:pPr>
      <w:r>
        <w:rPr>
          <w:b/>
          <w:i w:val="0"/>
        </w:rPr>
        <w:t>Affects</w:t>
      </w:r>
      <w:r>
        <w:rPr>
          <w:b w:val="0"/>
          <w:i w:val="0"/>
        </w:rPr>
        <w:t>: See which PSAT attribute(s) the layer feeds into, and under which category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shown as </w:t>
      </w:r>
      <w:r>
        <w:rPr>
          <w:rFonts w:ascii="Consolas" w:hAnsi="Consolas"/>
          <w:b w:val="0"/>
          <w:i w:val="0"/>
        </w:rPr>
        <w:t>Category: Attribute</w:t>
      </w:r>
      <w:r>
        <w:rPr>
          <w:b w:val="0"/>
          <w:i w:val="0"/>
        </w:rPr>
        <w:t xml:space="preserve">, e.g. </w:t>
      </w:r>
      <w:r>
        <w:rPr>
          <w:rFonts w:ascii="Consolas" w:hAnsi="Consolas"/>
          <w:b w:val="0"/>
          <w:i w:val="0"/>
        </w:rPr>
        <w:t>For Auto Coding: Facility Width</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t>LinkID_Shape_File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t>LinkID_Shape_File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File Upload</w:t>
      </w:r>
      <w:r>
        <w:rPr>
          <w:b w:val="0"/>
          <w:i w:val="0"/>
        </w:rPr>
        <w:t>: Drag and drop your GIS files, or click to browse.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files are selected, you can preview the geometry on the map before finalising.</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Required Columns</w:t>
      </w:r>
      <w:r>
        <w:rPr>
          <w:b w:val="0"/>
          <w:i w:val="0"/>
        </w:rPr>
        <w:t xml:space="preserve"> </w:t>
      </w:r>
      <w:r>
        <w:rPr>
          <w:b w:val="0"/>
          <w:i/>
        </w:rPr>
        <w:t>(optional)</w:t>
      </w:r>
      <w:r>
        <w:rPr>
          <w:b w:val="0"/>
          <w:i w:val="0"/>
        </w:rPr>
        <w:t xml:space="preserve">: Enter the column name(s) the new layer contains, e.g. </w:t>
      </w:r>
      <w:r>
        <w:rPr>
          <w:rFonts w:ascii="Consolas" w:hAnsi="Consolas"/>
          <w:b w:val="0"/>
          <w:i w:val="0"/>
        </w:rPr>
        <w:t>WIDTH, SURFACE_TYPE</w:t>
      </w:r>
      <w:r>
        <w:rPr>
          <w:b w:val="0"/>
          <w:i w:val="0"/>
        </w:rPr>
        <w:t>. This field can be left blank if you don't need to record any.</w:t>
      </w:r>
    </w:p>
    <w:p>
      <w:pPr>
        <w:pStyle w:val="ListBullet"/>
      </w:pPr>
      <w:r>
        <w:rPr>
          <w:b/>
          <w:i w:val="0"/>
        </w:rPr>
        <w:t>Affects</w:t>
      </w:r>
      <w:r>
        <w:rPr>
          <w:b w:val="0"/>
          <w:i w:val="0"/>
        </w:rPr>
        <w:t xml:space="preserve"> </w:t>
      </w:r>
      <w:r>
        <w:rPr>
          <w:b w:val="0"/>
          <w:i/>
        </w:rPr>
        <w:t>(mandatory)</w:t>
      </w:r>
      <w:r>
        <w:rPr>
          <w:b w:val="0"/>
          <w:i w:val="0"/>
        </w:rPr>
        <w:t xml:space="preserve">: First choose which category this layer belongs to —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then tick the specific attribute(s) within that category that this layer affects (e.g. Facility Width, Curvature). To add an attribute that isn't listed, type it into </w:t>
      </w:r>
      <w:r>
        <w:rPr>
          <w:b/>
          <w:i w:val="0"/>
        </w:rPr>
        <w:t>Add a custom parameter to "…"</w:t>
      </w:r>
      <w:r>
        <w:rPr>
          <w:b w:val="0"/>
          <w:i w:val="0"/>
        </w:rPr>
        <w:t xml:space="preserve"> and click </w:t>
      </w:r>
      <w:r>
        <w:rPr>
          <w:b/>
          <w:i w:val="0"/>
        </w:rPr>
        <w:t>Add</w:t>
      </w:r>
      <w:r>
        <w:rPr>
          <w:b w:val="0"/>
          <w:i w:val="0"/>
        </w:rPr>
        <w:t xml:space="preserve">. Each tick is recorded together with its category, e.g. </w:t>
      </w:r>
      <w:r>
        <w:rPr>
          <w:rFonts w:ascii="Consolas" w:hAnsi="Consolas"/>
          <w:b w:val="0"/>
          <w:i w:val="0"/>
        </w:rPr>
        <w:t>For Auto Coding: Facility Width</w:t>
      </w:r>
      <w:r>
        <w:rPr>
          <w:b w:val="0"/>
          <w:i w:val="0"/>
        </w:rPr>
        <w:t>, and appears as a removable tag below the checklist. You can switch categories and tick attributes from more than one — at least one attribute must be selected in total before uploading.</w:t>
      </w:r>
    </w:p>
    <w:p>
      <w:pPr/>
      <w:r>
        <w:rPr>
          <w:b w:val="0"/>
          <w:i/>
        </w:rPr>
        <w:t xml:space="preserve">The </w:t>
      </w:r>
      <w:r>
        <w:rPr>
          <w:b/>
          <w:i/>
        </w:rPr>
        <w:t>Upload</w:t>
      </w:r>
      <w:r>
        <w:rPr>
          <w:b w:val="0"/>
          <w:i/>
        </w:rPr>
        <w:t xml:space="preserve"> button stays disabled until you have selected a file and ticked at least one </w:t>
      </w:r>
      <w:r>
        <w:rPr>
          <w:b/>
          <w:i/>
        </w:rPr>
        <w:t>Affects</w:t>
      </w:r>
      <w:r>
        <w:rPr>
          <w:b w:val="0"/>
          <w:i/>
        </w:rPr>
        <w:t xml:space="preserve"> attribute.</w:t>
      </w:r>
    </w:p>
    <w:p>
      <w:pPr>
        <w:pStyle w:val="Heading3"/>
      </w:pPr>
      <w:r>
        <w:rPr>
          <w:b w:val="0"/>
          <w:i w:val="0"/>
        </w:rPr>
        <w:t>What You'll See After Uploading</w:t>
      </w:r>
    </w:p>
    <w:p>
      <w:pPr/>
      <w:r>
        <w:rPr>
          <w:b w:val="0"/>
          <w:i w:val="0"/>
        </w:rPr>
        <w:t>The layer's card on the GIS Layers page displays exactly what you entered on the upload form:</w:t>
      </w:r>
    </w:p>
    <w:p>
      <w:pPr>
        <w:pStyle w:val="ListBullet"/>
      </w:pPr>
      <w:r>
        <w:rPr>
          <w:b w:val="0"/>
          <w:i w:val="0"/>
        </w:rPr>
        <w:t xml:space="preserve">If </w:t>
      </w:r>
      <w:r>
        <w:rPr>
          <w:b/>
          <w:i w:val="0"/>
        </w:rPr>
        <w:t>Required Columns</w:t>
      </w:r>
      <w:r>
        <w:rPr>
          <w:b w:val="0"/>
          <w:i w:val="0"/>
        </w:rPr>
        <w:t xml:space="preserve"> was left blank, the card shows </w:t>
      </w:r>
      <w:r>
        <w:rPr>
          <w:rFonts w:ascii="Consolas" w:hAnsi="Consolas"/>
          <w:b w:val="0"/>
          <w:i w:val="0"/>
        </w:rPr>
        <w:t>Required Columns: None</w:t>
      </w:r>
      <w:r>
        <w:rPr>
          <w:b w:val="0"/>
          <w:i w:val="0"/>
        </w:rPr>
        <w:t>.</w:t>
      </w:r>
    </w:p>
    <w:p>
      <w:pPr>
        <w:pStyle w:val="ListBullet"/>
      </w:pPr>
      <w:r>
        <w:rPr>
          <w:b/>
          <w:i w:val="0"/>
        </w:rPr>
        <w:t>Affects</w:t>
      </w:r>
      <w:r>
        <w:rPr>
          <w:b w:val="0"/>
          <w:i w:val="0"/>
        </w:rPr>
        <w:t xml:space="preserve"> shows every </w:t>
      </w:r>
      <w:r>
        <w:rPr>
          <w:rFonts w:ascii="Consolas" w:hAnsi="Consolas"/>
          <w:b w:val="0"/>
          <w:i w:val="0"/>
        </w:rPr>
        <w:t>Category: Attribute</w:t>
      </w:r>
      <w:r>
        <w:rPr>
          <w:b w:val="0"/>
          <w:i w:val="0"/>
        </w:rPr>
        <w:t xml:space="preserve"> pair you ticked, e.g. </w:t>
      </w:r>
      <w:r>
        <w:rPr>
          <w:rFonts w:ascii="Consolas" w:hAnsi="Consolas"/>
          <w:b w:val="0"/>
          <w:i w:val="0"/>
        </w:rPr>
        <w:t>For Auto Coding: Facility Width</w:t>
      </w:r>
      <w:r>
        <w:rPr>
          <w:b w:val="0"/>
          <w:i w:val="0"/>
        </w:rPr>
        <w:t>. If you ticked attributes from more than one category, all of them are listed.</w:t>
      </w:r>
    </w:p>
    <w:p>
      <w:pPr/>
      <w:r>
        <w:rPr>
          <w:b/>
          <w:i w:val="0"/>
        </w:rPr>
        <w:t>Example:</w:t>
      </w:r>
      <w:r>
        <w:rPr>
          <w:b w:val="0"/>
          <w:i w:val="0"/>
        </w:rPr>
        <w:t xml:space="preserve"> You leave Required Columns empty, select the </w:t>
      </w:r>
      <w:r>
        <w:rPr>
          <w:b/>
          <w:i w:val="0"/>
        </w:rPr>
        <w:t>For Auto Coding</w:t>
      </w:r>
      <w:r>
        <w:rPr>
          <w:b w:val="0"/>
          <w:i w:val="0"/>
        </w:rPr>
        <w:t xml:space="preserve"> category, and tick </w:t>
      </w:r>
      <w:r>
        <w:rPr>
          <w:b/>
          <w:i w:val="0"/>
        </w:rPr>
        <w:t>Facility Width</w:t>
      </w:r>
      <w:r>
        <w:rPr>
          <w:b w:val="0"/>
          <w:i w:val="0"/>
        </w:rPr>
        <w:t>. After uploading, the layer's card reads:</w:t>
      </w:r>
    </w:p>
    <w:p>
      <w:pPr/>
      <w:r>
        <w:rPr>
          <w:rFonts w:ascii="Consolas" w:hAnsi="Consolas"/>
        </w:rPr>
        <w:t>Required Columns: None</w:t>
      </w:r>
      <w:r>
        <w:br/>
      </w:r>
      <w:r>
        <w:rPr>
          <w:rFonts w:ascii="Consolas" w:hAnsi="Consolas"/>
        </w:rPr>
        <w:t>Affects: For Auto Coding: Facility Width</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t>bus_stop, bus_lane, bus_shelter …</w:t>
            </w:r>
          </w:p>
        </w:tc>
      </w:tr>
      <w:tr>
        <w:tc>
          <w:tcPr>
            <w:tcW w:type="dxa" w:w="4320"/>
          </w:tcPr>
          <w:p>
            <w:r/>
            <w:r>
              <w:rPr>
                <w:rFonts w:ascii="Consolas" w:hAnsi="Consolas"/>
                <w:b w:val="0"/>
                <w:i w:val="0"/>
              </w:rPr>
              <w:t>path</w:t>
            </w:r>
          </w:p>
        </w:tc>
        <w:tc>
          <w:tcPr>
            <w:tcW w:type="dxa" w:w="4320"/>
          </w:tcPr>
          <w:p>
            <w:r>
              <w:t>cycling_path, shared_path,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p>
      <w:pPr>
        <w:pStyle w:val="Heading2"/>
      </w:pPr>
      <w:r>
        <w:rPr>
          <w:b w:val="0"/>
          <w:i w:val="0"/>
        </w:rPr>
        <w:t>6.9 Editing Required Columns and Affects</w:t>
      </w:r>
    </w:p>
    <w:p>
      <w:pPr/>
      <w:r>
        <w:rPr>
          <w:b w:val="0"/>
          <w:i w:val="0"/>
        </w:rPr>
        <w:t xml:space="preserve">The </w:t>
      </w:r>
      <w:r>
        <w:rPr>
          <w:b/>
          <w:i w:val="0"/>
        </w:rPr>
        <w:t>Required Columns</w:t>
      </w:r>
      <w:r>
        <w:rPr>
          <w:b w:val="0"/>
          <w:i w:val="0"/>
        </w:rPr>
        <w:t xml:space="preserve"> and </w:t>
      </w:r>
      <w:r>
        <w:rPr>
          <w:b/>
          <w:i w:val="0"/>
        </w:rPr>
        <w:t>Affects</w:t>
      </w:r>
      <w:r>
        <w:rPr>
          <w:b w:val="0"/>
          <w:i w:val="0"/>
        </w:rPr>
        <w:t xml:space="preserve"> values you entered while uploading a layer (see </w:t>
      </w:r>
      <w:r>
        <w:rPr>
          <w:b/>
          <w:i w:val="0"/>
        </w:rPr>
        <w:t>Section 6.3</w:t>
      </w:r>
      <w:r>
        <w:rPr>
          <w:b w:val="0"/>
          <w:i w:val="0"/>
        </w:rPr>
        <w:t>) can be corrected later if needed.</w:t>
      </w:r>
    </w:p>
    <w:p>
      <w:pPr/>
      <w:r>
        <w:rPr>
          <w:b/>
          <w:i w:val="0"/>
        </w:rPr>
        <w:t>Steps:</w:t>
      </w:r>
    </w:p>
    <w:p>
      <w:pPr>
        <w:pStyle w:val="ListNumber"/>
      </w:pPr>
      <w:r>
        <w:rPr>
          <w:b w:val="0"/>
          <w:i w:val="0"/>
        </w:rPr>
        <w:t>Open the GIS Layers page from the sidebar</w:t>
      </w:r>
    </w:p>
    <w:p>
      <w:pPr>
        <w:pStyle w:val="ListNumber"/>
      </w:pPr>
      <w:r>
        <w:rPr>
          <w:b w:val="0"/>
          <w:i w:val="0"/>
        </w:rPr>
        <w:t>Locate the layer you want to update</w:t>
      </w:r>
    </w:p>
    <w:p>
      <w:pPr>
        <w:pStyle w:val="ListNumber"/>
      </w:pPr>
      <w:r>
        <w:rPr>
          <w:b w:val="0"/>
          <w:i w:val="0"/>
        </w:rPr>
        <w:t xml:space="preserve">Click the </w:t>
      </w:r>
      <w:r>
        <w:rPr>
          <w:b/>
          <w:i w:val="0"/>
        </w:rPr>
        <w:t>Params</w:t>
      </w:r>
      <w:r>
        <w:rPr>
          <w:b w:val="0"/>
          <w:i w:val="0"/>
        </w:rPr>
        <w:t xml:space="preserve"> (or </w:t>
      </w:r>
      <w:r>
        <w:rPr>
          <w:b/>
          <w:i w:val="0"/>
        </w:rPr>
        <w:t>Edit</w:t>
      </w:r>
      <w:r>
        <w:rPr>
          <w:b w:val="0"/>
          <w:i w:val="0"/>
        </w:rPr>
        <w:t>) button on the layer row</w:t>
      </w:r>
    </w:p>
    <w:p>
      <w:pPr>
        <w:pStyle w:val="ListNumber"/>
      </w:pPr>
      <w:r>
        <w:rPr>
          <w:b w:val="0"/>
          <w:i w:val="0"/>
        </w:rPr>
        <w:t xml:space="preserve">Update the </w:t>
      </w:r>
      <w:r>
        <w:rPr>
          <w:b/>
          <w:i w:val="0"/>
        </w:rPr>
        <w:t>Affects</w:t>
      </w:r>
      <w:r>
        <w:rPr>
          <w:b w:val="0"/>
          <w:i w:val="0"/>
        </w:rPr>
        <w:t xml:space="preserve"> selections and/or </w:t>
      </w:r>
      <w:r>
        <w:rPr>
          <w:b/>
          <w:i w:val="0"/>
        </w:rPr>
        <w:t>Required Columns</w:t>
      </w:r>
      <w:r>
        <w:rPr>
          <w:b w:val="0"/>
          <w:i w:val="0"/>
        </w:rPr>
        <w:t xml:space="preserve"> text</w:t>
      </w:r>
    </w:p>
    <w:p>
      <w:pPr>
        <w:pStyle w:val="ListNumber"/>
      </w:pPr>
      <w:r>
        <w:rPr>
          <w:b w:val="0"/>
          <w:i w:val="0"/>
        </w:rPr>
        <w:t xml:space="preserve">Click </w:t>
      </w:r>
      <w:r>
        <w:rPr>
          <w:b/>
          <w:i w:val="0"/>
        </w:rPr>
        <w:t>Save</w:t>
      </w:r>
    </w:p>
    <w:p>
      <w:pPr/>
      <w:r>
        <w:rPr>
          <w:b/>
          <w:i/>
        </w:rPr>
        <w:t>Only layers you have uploaded through Add GIS Layer can have their Required Columns / Affects edited.</w:t>
      </w:r>
      <w:r>
        <w:rPr>
          <w:b w:val="0"/>
          <w:i/>
        </w:rPr>
        <w:t xml:space="preserve"> The built-in shapefiles that ship with PSAT, and any layer that already existed before this feature, are read-only for these two fields — the </w:t>
      </w:r>
      <w:r>
        <w:rPr>
          <w:b/>
          <w:i/>
        </w:rPr>
        <w:t>Params</w:t>
      </w:r>
      <w:r>
        <w:rPr>
          <w:b w:val="0"/>
          <w:i/>
        </w:rPr>
        <w:t xml:space="preserve"> button is disabled for them. This does not change what columns the scoring engine actually reads; it only corrects the informational labels shown in the GIS Layers list.</w:t>
      </w:r>
    </w:p>
    <w:p>
      <w:r>
        <w:br w:type="page"/>
      </w:r>
    </w:p>
    <w:p>
      <w:pPr>
        <w:pStyle w:val="Heading1"/>
      </w:pPr>
      <w:r/>
      <w:r>
        <w:t>7. In-Image Path Measurement</w:t>
      </w:r>
    </w:p>
    <w:p>
      <w:r>
        <w:t>The Measure tool lets you measure real-world distances directly on a segment's street-level survey photo — for example, how many metres of clear width sit beside a path before hitting a tree, drain, railing, or kerb. Use it to judge whether a path can be widened or have a cycling lane added, based on the actual physical obstructions in the photo, rather than relying only on the top-down GIS width layers (which do not capture on-the-ground obstructions and are sometimes wrong).</w:t>
      </w:r>
    </w:p>
    <w:p>
      <w:pPr>
        <w:pBdr>
          <w:bottom w:val="single" w:sz="6" w:space="1" w:color="CCCCCC"/>
        </w:pBdr>
        <w:spacing w:after="0"/>
      </w:pPr>
    </w:p>
    <w:p>
      <w:pPr>
        <w:pStyle w:val="Heading2"/>
      </w:pPr>
      <w:r/>
      <w:r>
        <w:t>Table of Contents</w:t>
      </w:r>
    </w:p>
    <w:p>
      <w:pPr>
        <w:pBdr>
          <w:bottom w:val="single" w:sz="6" w:space="1" w:color="CCCCCC"/>
        </w:pBdr>
        <w:spacing w:after="0"/>
      </w:pPr>
    </w:p>
    <w:p>
      <w:pPr>
        <w:pStyle w:val="Heading2"/>
      </w:pPr>
      <w:r/>
      <w:r>
        <w:t>7.1 Opening the Measure Tool</w:t>
      </w:r>
    </w:p>
    <w:p>
      <w:r>
        <w:t xml:space="preserve">On the Coding page, open the street-view image panel for the segment you want to measure and click the </w:t>
      </w:r>
      <w:r>
        <w:rPr>
          <w:b/>
        </w:rPr>
        <w:t>Measure</w:t>
      </w:r>
      <w:r>
        <w:t xml:space="preserve"> button in its header. A full-screen measurement window opens for that segment. The button is disabled when the segment has no image.</w:t>
      </w:r>
    </w:p>
    <w:p>
      <w:r>
        <w:t>Measurements are read off live on screen — they are not currently saved back to the segment.</w:t>
      </w:r>
    </w:p>
    <w:p>
      <w:pPr>
        <w:pStyle w:val="Heading2"/>
      </w:pPr>
      <w:r/>
      <w:r>
        <w:t>7.2 Measuring Against a Known Object (Anchor)</w:t>
      </w:r>
    </w:p>
    <w:p>
      <w:r>
        <w:t>The reliable way to measure is to anchor the tool on an object of known size that appears in the photo:</w:t>
      </w:r>
    </w:p>
    <w:p>
      <w:r>
        <w:rPr>
          <w:b w:val="0"/>
        </w:rPr>
        <w:t xml:space="preserve">1. </w:t>
      </w:r>
      <w:r>
        <w:rPr>
          <w:b/>
        </w:rPr>
        <w:t>Pick the anchor type:</w:t>
      </w:r>
    </w:p>
    <w:p>
      <w:pPr>
        <w:pStyle w:val="ListBullet2"/>
      </w:pPr>
      <w:r>
        <w:rPr>
          <w:b/>
        </w:rPr>
        <w:t>Drain</w:t>
      </w:r>
      <w:r>
        <w:t xml:space="preserve"> — choose from a dropdown of standard grating sizes. The default is the standard 700 × 850 mm drain grating, with the 700 mm edge facing you, as typically seen on path drains.</w:t>
      </w:r>
    </w:p>
    <w:p>
      <w:pPr>
        <w:pStyle w:val="ListBullet2"/>
      </w:pPr>
      <w:r>
        <w:rPr>
          <w:b/>
        </w:rPr>
        <w:t>Tactile</w:t>
      </w:r>
      <w:r>
        <w:t xml:space="preserve"> — the yellow tactile tiles found at every crossing, 300 × 300 mm per tile, with whole-mat options (600 × 600, 900 × 900, …). Outline a full mat when visible — a bigger anchor gives a more accurate result.</w:t>
      </w:r>
    </w:p>
    <w:p>
      <w:pPr>
        <w:pStyle w:val="ListBullet2"/>
      </w:pPr>
      <w:r>
        <w:rPr>
          <w:b/>
        </w:rPr>
        <w:t>Custom</w:t>
      </w:r>
      <w:r>
        <w:t xml:space="preserve"> — enter any known flat rectangle's size in millimetres (near edge × side edge), for example ground signage. The object must lie flat on the ground.</w:t>
      </w:r>
    </w:p>
    <w:p>
      <w:r>
        <w:t xml:space="preserve">2. </w:t>
      </w:r>
      <w:r>
        <w:rPr>
          <w:b/>
        </w:rPr>
        <w:t>Click the object's four outline corners in order:</w:t>
      </w:r>
      <w:r>
        <w:t xml:space="preserve"> near-left → near-right → far-right → far-left ("near" means the edge closest to the camera). The panel keeps this order visible and a status line counts each corner as you click.</w:t>
      </w:r>
    </w:p>
    <w:p>
      <w:r>
        <w:t xml:space="preserve">3. </w:t>
      </w:r>
      <w:r>
        <w:t>Once all four corners are clicked, the grid snaps into place with an exact solution and the tool switches straight to the Ruler.</w:t>
      </w:r>
    </w:p>
    <w:p>
      <w:pPr>
        <w:pStyle w:val="Heading2"/>
      </w:pPr>
      <w:r/>
      <w:r>
        <w:t>7.3 Reading Off a Measurement (Ruler)</w:t>
      </w:r>
    </w:p>
    <w:p>
      <w:r>
        <w:t xml:space="preserve">After anchoring, use the </w:t>
      </w:r>
      <w:r>
        <w:rPr>
          <w:b/>
        </w:rPr>
        <w:t>Ruler</w:t>
      </w:r>
      <w:r>
        <w:t>: click the path edge you're widening from, then click the obstacle. The tool reads out the clear width between the two points.</w:t>
      </w:r>
    </w:p>
    <w:p>
      <w:r>
        <w:t>A 1 m × 1 m grid is painted over the photo as a visual reference for square-counting, and it extends back toward the camera when the anchor sits further out.</w:t>
      </w:r>
    </w:p>
    <w:p>
      <w:r>
        <w:rPr>
          <w:b/>
        </w:rPr>
        <w:t>A few things worth knowing while measuring:</w:t>
      </w:r>
    </w:p>
    <w:p>
      <w:pPr>
        <w:pStyle w:val="ListBullet"/>
      </w:pPr>
      <w:r>
        <w:t xml:space="preserve">Every measurement shows a </w:t>
      </w:r>
      <w:r>
        <w:rPr>
          <w:b/>
        </w:rPr>
        <w:t>± uncertainty band</w:t>
      </w:r>
      <w:r>
        <w:t>, never a bare number — this is deliberate. The tool is planning-grade, not survey-grade.</w:t>
      </w:r>
    </w:p>
    <w:p>
      <w:pPr>
        <w:pStyle w:val="ListBullet"/>
      </w:pPr>
      <w:r>
        <w:t xml:space="preserve">Measurements are most reliable in the </w:t>
      </w:r>
      <w:r>
        <w:rPr>
          <w:b/>
        </w:rPr>
        <w:t>near field (roughly 0–3 m in front of the camera)</w:t>
      </w:r>
      <w:r>
        <w:t>. Beyond ~3 m the overlay is de-emphasised and a warning appears — treat far readings as soft.</w:t>
      </w:r>
    </w:p>
    <w:p>
      <w:pPr>
        <w:pStyle w:val="ListBullet"/>
      </w:pPr>
      <w:r>
        <w:rPr>
          <w:b/>
        </w:rPr>
        <w:t>Yaw</w:t>
      </w:r>
      <w:r>
        <w:t xml:space="preserve"> spins the grid to run down the path (a bike doesn't always point straight down it). Yaw only rotates the grid — it never changes a measured distance.</w:t>
      </w:r>
    </w:p>
    <w:p>
      <w:pPr>
        <w:pStyle w:val="Heading2"/>
      </w:pPr>
      <w:r/>
      <w:r>
        <w:t>7.4 Frames Without a Drain (Manual Dials)</w:t>
      </w:r>
    </w:p>
    <w:p>
      <w:r>
        <w:t>If a frame has no drain or other known object to anchor on, use the manual dials (Yaw, k1, Pitch, Height, Roll) to line the grid up by eye. This is the fallback path, not the main one, and is less accurate than anchoring — see the limits below.</w:t>
      </w:r>
    </w:p>
    <w:p>
      <w:pPr>
        <w:pStyle w:val="Heading2"/>
      </w:pPr>
      <w:r/>
      <w:r>
        <w:t>7.5 Accuracy &amp; Honest Limits</w:t>
      </w:r>
    </w:p>
    <w:p>
      <w:r>
        <w:t>The Measure tool is intended for planning-grade decisions, not survey-grade certainty:</w:t>
      </w:r>
    </w:p>
    <w:p>
      <w:pPr>
        <w:pStyle w:val="ListBullet"/>
      </w:pPr>
      <w:r>
        <w:rPr>
          <w:b/>
        </w:rPr>
        <w:t>Typical accuracy is about ±0.4–0.5 m in the near field.</w:t>
      </w:r>
      <w:r>
        <w:t xml:space="preserve"> This is capped by the source imagery itself (640×457 px, no higher resolution available), not by the measuring method.</w:t>
      </w:r>
    </w:p>
    <w:p>
      <w:pPr>
        <w:pStyle w:val="ListBullet"/>
      </w:pPr>
      <w:r>
        <w:rPr>
          <w:b/>
        </w:rPr>
        <w:t>Anchored (drain) measurements are the accurate ones.</w:t>
      </w:r>
      <w:r>
        <w:t xml:space="preserve"> During calibration, the anchor method measured gratings it hadn't seen before to a median error of about 91 mm. Manual-dial measurements are looser.</w:t>
      </w:r>
    </w:p>
    <w:p>
      <w:pPr>
        <w:pStyle w:val="ListBullet"/>
      </w:pPr>
      <w:r>
        <w:rPr>
          <w:b/>
        </w:rPr>
        <w:t>Trust the near field.</w:t>
      </w:r>
      <w:r>
        <w:t xml:space="preserve"> Precision falls off quickly toward the horizon as pixels compress in the photo — stay within roughly 0–3 m, and treat readings beyond that as a rough guide only.</w:t>
      </w:r>
    </w:p>
    <w:p>
      <w:pPr>
        <w:pStyle w:val="ListBullet"/>
      </w:pPr>
      <w:r>
        <w:rPr>
          <w:b/>
        </w:rPr>
        <w:t>The tool assumes flat ground.</w:t>
      </w:r>
      <w:r>
        <w:t xml:space="preserve"> Slopes, camber, and measuring across a kerb onto a raised verge will make the reading less reliable.</w:t>
      </w:r>
    </w:p>
    <w:p>
      <w:pPr>
        <w:pStyle w:val="ListBullet"/>
      </w:pPr>
      <w:r>
        <w:rPr>
          <w:b/>
        </w:rPr>
        <w:t>If the tool and the GIS width layers disagree, that's expected — not a bug.</w:t>
      </w:r>
      <w:r>
        <w:t xml:space="preserve"> The tool exists specifically because the top-down GIS layers can be wrong about physical obstructions on the ground. When in doubt, validate against a tape measurement on site rather than against GIS.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