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5591" w14:textId="6F1C4927" w:rsidR="009F2DE0" w:rsidRDefault="006050E8" w:rsidP="009F2DE0">
      <w:pPr>
        <w:adjustRightInd w:val="0"/>
        <w:snapToGrid w:val="0"/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9F2DE0" w:rsidRPr="009F2DE0">
        <w:rPr>
          <w:rFonts w:ascii="Times New Roman" w:hAnsi="Times New Roman" w:cs="Times New Roman"/>
        </w:rPr>
        <w:t xml:space="preserve">he full covariance matrices </w:t>
      </w:r>
      <w:r w:rsidR="009F2DE0">
        <w:rPr>
          <w:rFonts w:ascii="Times New Roman" w:hAnsi="Times New Roman" w:cs="Times New Roman"/>
        </w:rPr>
        <w:t xml:space="preserve">of any product can be </w:t>
      </w:r>
      <w:r>
        <w:rPr>
          <w:rFonts w:ascii="Times New Roman" w:hAnsi="Times New Roman" w:cs="Times New Roman"/>
        </w:rPr>
        <w:t>reconstructed</w:t>
      </w:r>
      <w:r w:rsidR="009F2D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according to </w:t>
      </w:r>
      <w:r w:rsidRPr="00BF6941">
        <w:rPr>
          <w:rFonts w:ascii="Times New Roman" w:hAnsi="Times New Roman" w:cs="Times New Roman"/>
          <w:color w:val="4472C4" w:themeColor="accent1"/>
        </w:rPr>
        <w:t>equation (1)</w:t>
      </w:r>
      <w:r w:rsidR="00FD437B">
        <w:rPr>
          <w:rFonts w:ascii="Times New Roman" w:hAnsi="Times New Roman" w:cs="Times New Roman"/>
        </w:rPr>
        <w:t>,</w:t>
      </w:r>
    </w:p>
    <w:p w14:paraId="3768CBEF" w14:textId="0CAA76D0" w:rsidR="006050E8" w:rsidRPr="00BF6941" w:rsidRDefault="00000000" w:rsidP="00BF6941">
      <w:pPr>
        <w:tabs>
          <w:tab w:val="center" w:pos="4253"/>
          <w:tab w:val="right" w:pos="7938"/>
        </w:tabs>
        <w:adjustRightInd w:val="0"/>
        <w:snapToGrid w:val="0"/>
        <w:spacing w:line="36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q=1</m:t>
                  </m:r>
                </m:sub>
                <m:sup>
                  <m:r>
                    <w:rPr>
                      <w:rFonts w:ascii="Cambria Math"/>
                    </w:rPr>
                    <m:t>Q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/>
                        </w:rPr>
                        <m:t>q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/>
                        </w:rPr>
                        <m:t>q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/>
                        </w:rPr>
                        <m:t>q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/>
                        </w:rPr>
                        <m:t>q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60EAB22" w14:textId="227BF68D" w:rsidR="00A758E4" w:rsidRDefault="00BF6941" w:rsidP="00BF6941">
      <w:pPr>
        <w:adjustRightInd w:val="0"/>
        <w:snapToGrid w:val="0"/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common eigenvectors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/>
              </w:rPr>
              <m:t>V</m:t>
            </m:r>
          </m:e>
          <m:sup>
            <m:r>
              <w:rPr>
                <w:rFonts w:ascii="Cambria Math"/>
              </w:rPr>
              <m:t>q</m:t>
            </m:r>
          </m:sup>
        </m:sSu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scale factors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/>
              </w:rPr>
              <m:t>K</m:t>
            </m:r>
          </m:e>
          <m:sup>
            <m:r>
              <w:rPr>
                <w:rFonts w:ascii="Cambria Math"/>
              </w:rPr>
              <m:t>q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fusion weights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Cambria Math"/>
              </w:rPr>
              <m:t>q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from the covariance matrices of Tongji-Grace2018 and GFZ-RL06 products (i.e., </w:t>
      </w:r>
      <m:oMath>
        <m:r>
          <w:rPr>
            <w:rFonts w:ascii="Cambria Math"/>
          </w:rPr>
          <m:t>Q=2</m:t>
        </m:r>
      </m:oMath>
      <w:r>
        <w:rPr>
          <w:rFonts w:ascii="Times New Roman" w:hAnsi="Times New Roman" w:cs="Times New Roman"/>
        </w:rPr>
        <w:t xml:space="preserve">) are directly provided as </w:t>
      </w:r>
      <w:r w:rsidRPr="00BF6941">
        <w:rPr>
          <w:rFonts w:ascii="Times New Roman" w:hAnsi="Times New Roman" w:cs="Times New Roman"/>
          <w:b/>
          <w:bCs/>
        </w:rPr>
        <w:t>MAT files</w:t>
      </w:r>
      <w:r>
        <w:rPr>
          <w:rFonts w:ascii="Times New Roman" w:hAnsi="Times New Roman" w:cs="Times New Roman"/>
        </w:rPr>
        <w:t xml:space="preserve"> (i.e., </w:t>
      </w:r>
      <w:proofErr w:type="spellStart"/>
      <w:r w:rsidRPr="00BF6941">
        <w:rPr>
          <w:rFonts w:ascii="Times New Roman" w:hAnsi="Times New Roman" w:cs="Times New Roman"/>
          <w:b/>
          <w:bCs/>
        </w:rPr>
        <w:t>Common_Eigenvector.mat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S</w:t>
      </w:r>
      <w:r w:rsidRPr="00BF6941">
        <w:rPr>
          <w:rFonts w:ascii="Times New Roman" w:hAnsi="Times New Roman" w:cs="Times New Roman"/>
          <w:b/>
          <w:bCs/>
        </w:rPr>
        <w:t>cale_</w:t>
      </w:r>
      <w:r>
        <w:rPr>
          <w:rFonts w:ascii="Times New Roman" w:hAnsi="Times New Roman" w:cs="Times New Roman"/>
          <w:b/>
          <w:bCs/>
        </w:rPr>
        <w:t>F</w:t>
      </w:r>
      <w:r w:rsidRPr="00BF6941">
        <w:rPr>
          <w:rFonts w:ascii="Times New Roman" w:hAnsi="Times New Roman" w:cs="Times New Roman"/>
          <w:b/>
          <w:bCs/>
        </w:rPr>
        <w:t>actor.mat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F</w:t>
      </w:r>
      <w:r w:rsidRPr="00BF6941">
        <w:rPr>
          <w:rFonts w:ascii="Times New Roman" w:hAnsi="Times New Roman" w:cs="Times New Roman"/>
          <w:b/>
          <w:bCs/>
        </w:rPr>
        <w:t>usio</w:t>
      </w:r>
      <w:r w:rsidR="00A758E4">
        <w:rPr>
          <w:rFonts w:ascii="Times New Roman" w:hAnsi="Times New Roman" w:cs="Times New Roman"/>
          <w:b/>
          <w:bCs/>
        </w:rPr>
        <w:t>n</w:t>
      </w:r>
      <w:r w:rsidRPr="00BF6941">
        <w:rPr>
          <w:rFonts w:ascii="Times New Roman" w:hAnsi="Times New Roman" w:cs="Times New Roman"/>
          <w:b/>
          <w:bCs/>
        </w:rPr>
        <w:t>_</w:t>
      </w:r>
      <w:r>
        <w:rPr>
          <w:rFonts w:ascii="Times New Roman" w:hAnsi="Times New Roman" w:cs="Times New Roman"/>
          <w:b/>
          <w:bCs/>
        </w:rPr>
        <w:t>W</w:t>
      </w:r>
      <w:r w:rsidRPr="00BF6941">
        <w:rPr>
          <w:rFonts w:ascii="Times New Roman" w:hAnsi="Times New Roman" w:cs="Times New Roman"/>
          <w:b/>
          <w:bCs/>
        </w:rPr>
        <w:t>eights.mat</w:t>
      </w:r>
      <w:proofErr w:type="spellEnd"/>
      <w:r>
        <w:rPr>
          <w:rFonts w:ascii="Times New Roman" w:hAnsi="Times New Roman" w:cs="Times New Roman"/>
        </w:rPr>
        <w:t xml:space="preserve">). </w:t>
      </w:r>
    </w:p>
    <w:p w14:paraId="15C92453" w14:textId="76F0B26F" w:rsidR="001F07AF" w:rsidRDefault="001F07AF" w:rsidP="00BF6941">
      <w:pPr>
        <w:adjustRightInd w:val="0"/>
        <w:snapToGrid w:val="0"/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function relationship between formal errors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ip</m:t>
            </m:r>
          </m:sub>
        </m:sSub>
      </m:oMath>
      <w:r w:rsidR="00DC225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eigenvectors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ip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Times New Roman" w:hAnsi="Times New Roman" w:cs="Times New Roman"/>
        </w:rPr>
        <w:t>of training covariance matrices are obtained by,</w:t>
      </w:r>
    </w:p>
    <w:p w14:paraId="66BCB0ED" w14:textId="63B892DD" w:rsidR="001F07AF" w:rsidRPr="00DC2254" w:rsidRDefault="00DC2254" w:rsidP="00BF6941">
      <w:pPr>
        <w:adjustRightInd w:val="0"/>
        <w:snapToGrid w:val="0"/>
        <w:spacing w:before="120" w:after="120" w:line="360" w:lineRule="auto"/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ip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ip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ip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/>
                      <w:i/>
                    </w:rPr>
                  </m:ctrlPr>
                </m:e>
                <m:sub>
                  <m:r>
                    <w:rPr>
                      <w:rFonts w:ascii="Cambria Math"/>
                    </w:rPr>
                    <m:t>i</m:t>
                  </m:r>
                  <m:ctrlPr>
                    <w:rPr>
                      <w:rFonts w:asci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ip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/>
                      <w:i/>
                    </w:rPr>
                  </m:ctrlPr>
                </m:e>
                <m:sub>
                  <m:r>
                    <w:rPr>
                      <w:rFonts w:ascii="Cambria Math"/>
                    </w:rPr>
                    <m:t>i</m:t>
                  </m:r>
                  <m:ctrlPr>
                    <w:rPr>
                      <w:rFonts w:asci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58D30D6C" w14:textId="3E41C050" w:rsidR="00DC2254" w:rsidRPr="00DC2254" w:rsidRDefault="00DC2254" w:rsidP="00BF6941">
      <w:pPr>
        <w:adjustRightInd w:val="0"/>
        <w:snapToGrid w:val="0"/>
        <w:spacing w:before="120" w:after="12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where the polynomial coefficients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rPr>
          <w:rFonts w:ascii="Times New Roman" w:hAnsi="Times New Roman" w:cs="Times New Roman"/>
        </w:rPr>
        <w:t xml:space="preserve">and time variances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 xml:space="preserve"> (</m:t>
        </m:r>
        <m:r>
          <w:rPr>
            <w:rFonts w:ascii="Cambria Math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-</m:t>
        </m:r>
        <m:r>
          <w:rPr>
            <w:rFonts w:ascii="Cambria Math" w:hAnsi="Cambria Math"/>
          </w:rPr>
          <m:t>2002)</m:t>
        </m:r>
      </m:oMath>
      <w:r>
        <w:rPr>
          <w:rFonts w:ascii="Times New Roman" w:hAnsi="Times New Roman" w:cs="Times New Roman"/>
        </w:rPr>
        <w:t xml:space="preserve">are provided in </w:t>
      </w:r>
      <w:proofErr w:type="spellStart"/>
      <w:r w:rsidRPr="00DC2254">
        <w:rPr>
          <w:rFonts w:ascii="Times New Roman" w:hAnsi="Times New Roman" w:cs="Times New Roman"/>
          <w:b/>
          <w:bCs/>
        </w:rPr>
        <w:t>Fitted_Coffecients.mat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DC2254">
        <w:rPr>
          <w:rFonts w:ascii="Times New Roman" w:hAnsi="Times New Roman" w:cs="Times New Roman"/>
          <w:b/>
          <w:bCs/>
        </w:rPr>
        <w:t>time.mat</w:t>
      </w:r>
      <w:proofErr w:type="spellEnd"/>
      <w:r>
        <w:rPr>
          <w:rFonts w:ascii="Times New Roman" w:hAnsi="Times New Roman" w:cs="Times New Roman"/>
        </w:rPr>
        <w:t>.</w:t>
      </w:r>
    </w:p>
    <w:p w14:paraId="2D182C31" w14:textId="5EA8EFE3" w:rsidR="00BF6941" w:rsidRDefault="00BF6941" w:rsidP="00BF6941">
      <w:pPr>
        <w:adjustRightInd w:val="0"/>
        <w:snapToGrid w:val="0"/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fitted eigenvalues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</w:rPr>
                  <m:t>Λ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Cambria Math"/>
              </w:rPr>
              <m:t>q</m:t>
            </m:r>
          </m:sup>
        </m:sSubSup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nd the reconstructed covariance matrices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</w:rPr>
                  <m:t>Σ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Times New Roman" w:hAnsi="Times New Roman" w:cs="Times New Roman"/>
        </w:rPr>
        <w:t xml:space="preserve">can be </w:t>
      </w:r>
      <w:r w:rsidR="00433065">
        <w:rPr>
          <w:rFonts w:ascii="Times New Roman" w:hAnsi="Times New Roman" w:cs="Times New Roman" w:hint="eastAsia"/>
        </w:rPr>
        <w:t>derived</w:t>
      </w:r>
      <w:r>
        <w:rPr>
          <w:rFonts w:ascii="Times New Roman" w:hAnsi="Times New Roman" w:cs="Times New Roman"/>
        </w:rPr>
        <w:t xml:space="preserve"> </w:t>
      </w:r>
      <w:r w:rsidR="00FD437B">
        <w:rPr>
          <w:rFonts w:ascii="Times New Roman" w:hAnsi="Times New Roman" w:cs="Times New Roman"/>
        </w:rPr>
        <w:t>via</w:t>
      </w:r>
      <w:r>
        <w:rPr>
          <w:rFonts w:ascii="Times New Roman" w:hAnsi="Times New Roman" w:cs="Times New Roman"/>
        </w:rPr>
        <w:t xml:space="preserve"> “</w:t>
      </w:r>
      <w:proofErr w:type="spellStart"/>
      <w:r w:rsidRPr="00BF6941">
        <w:rPr>
          <w:rFonts w:ascii="Times New Roman" w:hAnsi="Times New Roman" w:cs="Times New Roman"/>
          <w:b/>
          <w:bCs/>
        </w:rPr>
        <w:t>CR.m</w:t>
      </w:r>
      <w:proofErr w:type="spellEnd"/>
      <w:r>
        <w:rPr>
          <w:rFonts w:ascii="Times New Roman" w:hAnsi="Times New Roman" w:cs="Times New Roman"/>
        </w:rPr>
        <w:t>”</w:t>
      </w:r>
      <w:r w:rsidR="00433065">
        <w:rPr>
          <w:rFonts w:ascii="Times New Roman" w:hAnsi="Times New Roman" w:cs="Times New Roman"/>
        </w:rPr>
        <w:t>, respectively.</w:t>
      </w:r>
    </w:p>
    <w:p w14:paraId="037E8A3E" w14:textId="0A57E880" w:rsidR="00A758E4" w:rsidRDefault="00A758E4" w:rsidP="00BF6941">
      <w:pPr>
        <w:adjustRightInd w:val="0"/>
        <w:snapToGrid w:val="0"/>
        <w:spacing w:before="120" w:after="12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Pr="00A758E4">
        <w:rPr>
          <w:rFonts w:ascii="Times New Roman" w:hAnsi="Times New Roman" w:cs="Times New Roman"/>
          <w:b/>
          <w:bCs/>
        </w:rPr>
        <w:t>Formal_Error.mat</w:t>
      </w:r>
      <w:proofErr w:type="spellEnd"/>
      <w:r>
        <w:rPr>
          <w:rFonts w:ascii="Times New Roman" w:hAnsi="Times New Roman" w:cs="Times New Roman"/>
        </w:rPr>
        <w:t xml:space="preserve"> include the solutions from ITSG-Grace2018 </w:t>
      </w:r>
      <w:r w:rsidRPr="00A758E4">
        <w:rPr>
          <w:rFonts w:ascii="Times New Roman" w:hAnsi="Times New Roman" w:cs="Times New Roman"/>
          <w:iCs/>
        </w:rPr>
        <w:t>(April 2002 to March 2016)</w:t>
      </w:r>
      <w:r>
        <w:rPr>
          <w:rFonts w:ascii="Times New Roman" w:hAnsi="Times New Roman" w:cs="Times New Roman"/>
        </w:rPr>
        <w:t xml:space="preserve">, CSR RL06 </w:t>
      </w:r>
      <w:r w:rsidRPr="00A758E4">
        <w:rPr>
          <w:rFonts w:ascii="Times New Roman" w:hAnsi="Times New Roman" w:cs="Times New Roman"/>
          <w:iCs/>
        </w:rPr>
        <w:t>(April 2002 to March 2016)</w:t>
      </w:r>
      <w:r>
        <w:rPr>
          <w:rFonts w:ascii="Times New Roman" w:hAnsi="Times New Roman" w:cs="Times New Roman"/>
        </w:rPr>
        <w:t xml:space="preserve">, JPL RL06 </w:t>
      </w:r>
      <w:r w:rsidRPr="00A758E4">
        <w:rPr>
          <w:rFonts w:ascii="Times New Roman" w:hAnsi="Times New Roman" w:cs="Times New Roman"/>
          <w:iCs/>
        </w:rPr>
        <w:t>(April 2002 to March 2016)</w:t>
      </w:r>
      <w:r>
        <w:rPr>
          <w:rFonts w:ascii="Times New Roman" w:hAnsi="Times New Roman" w:cs="Times New Roman"/>
        </w:rPr>
        <w:t xml:space="preserve">, </w:t>
      </w:r>
      <w:r w:rsidRPr="00A758E4">
        <w:rPr>
          <w:rFonts w:ascii="Times New Roman" w:hAnsi="Times New Roman" w:cs="Times New Roman"/>
          <w:iCs/>
        </w:rPr>
        <w:t>AIUB-RL02 (March 2003 to March 2014), HUST-Grace2020 (January 2003 to July 2016), ITG-Grace2010 (August 2003 to August 2009), SWJTU-RL01 (March 2005 to October 2011), WHU-GPD01s (August 2002 to September 2016) and XISM-Grace01 (April 2002 to March 2016)</w:t>
      </w:r>
      <w:r>
        <w:rPr>
          <w:rFonts w:ascii="Times New Roman" w:hAnsi="Times New Roman" w:cs="Times New Roman"/>
          <w:iCs/>
        </w:rPr>
        <w:t>.</w:t>
      </w:r>
      <w:r w:rsidR="006B07FF">
        <w:rPr>
          <w:rFonts w:ascii="Times New Roman" w:hAnsi="Times New Roman" w:cs="Times New Roman"/>
          <w:iCs/>
        </w:rPr>
        <w:t xml:space="preserve"> </w:t>
      </w:r>
      <w:r w:rsidR="006B07FF">
        <w:rPr>
          <w:rFonts w:ascii="Times New Roman" w:hAnsi="Times New Roman" w:cs="Times New Roman" w:hint="eastAsia"/>
          <w:iCs/>
        </w:rPr>
        <w:t>But</w:t>
      </w:r>
      <w:r w:rsidR="006B07FF">
        <w:rPr>
          <w:rFonts w:ascii="Times New Roman" w:hAnsi="Times New Roman" w:cs="Times New Roman"/>
          <w:iCs/>
        </w:rPr>
        <w:t xml:space="preserve"> you can input the formal errors of any product to derive their reconstructed covariance matrices.</w:t>
      </w:r>
    </w:p>
    <w:p w14:paraId="102D18AC" w14:textId="18B842B3" w:rsidR="00BF6941" w:rsidRPr="00FD437B" w:rsidRDefault="00FD437B" w:rsidP="00FD437B">
      <w:pPr>
        <w:adjustRightInd w:val="0"/>
        <w:snapToGrid w:val="0"/>
        <w:spacing w:before="120" w:after="12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</w:t>
      </w:r>
      <w:r>
        <w:rPr>
          <w:rFonts w:ascii="Times New Roman" w:hAnsi="Times New Roman" w:cs="Times New Roman"/>
          <w:iCs/>
        </w:rPr>
        <w:t>he provided files are toward the SHCs at degree and order 60 (</w:t>
      </w:r>
      <w:r w:rsidR="00B40709">
        <w:rPr>
          <w:rFonts w:ascii="Times New Roman" w:hAnsi="Times New Roman" w:cs="Times New Roman"/>
          <w:iCs/>
        </w:rPr>
        <w:t xml:space="preserve">i.e., </w:t>
      </w:r>
      <w:r>
        <w:rPr>
          <w:rFonts w:ascii="Times New Roman" w:hAnsi="Times New Roman" w:cs="Times New Roman"/>
          <w:iCs/>
        </w:rPr>
        <w:t>3717 SH</w:t>
      </w:r>
      <w:r w:rsidR="00B40709">
        <w:rPr>
          <w:rFonts w:ascii="Times New Roman" w:hAnsi="Times New Roman" w:cs="Times New Roman"/>
          <w:iCs/>
        </w:rPr>
        <w:t xml:space="preserve">Cs) </w:t>
      </w:r>
      <w:r>
        <w:rPr>
          <w:rFonts w:ascii="Times New Roman" w:hAnsi="Times New Roman" w:cs="Times New Roman"/>
          <w:iCs/>
        </w:rPr>
        <w:t xml:space="preserve">during </w:t>
      </w:r>
      <w:r w:rsidRPr="00A758E4">
        <w:rPr>
          <w:rFonts w:ascii="Times New Roman" w:hAnsi="Times New Roman" w:cs="Times New Roman"/>
          <w:iCs/>
        </w:rPr>
        <w:t>April 2002 to March 2016</w:t>
      </w:r>
      <w:r w:rsidR="00B40709">
        <w:rPr>
          <w:rFonts w:ascii="Times New Roman" w:hAnsi="Times New Roman" w:cs="Times New Roman"/>
          <w:iCs/>
        </w:rPr>
        <w:t xml:space="preserve"> (i.e., 157 months, without May 2015)</w:t>
      </w:r>
      <w:r>
        <w:rPr>
          <w:rFonts w:ascii="Times New Roman" w:hAnsi="Times New Roman" w:cs="Times New Roman"/>
          <w:iCs/>
        </w:rPr>
        <w:t>, but in fact the proposed approach can reconstruct the covariance matrices at any degree</w:t>
      </w:r>
      <w:r w:rsidR="00B40709">
        <w:rPr>
          <w:rFonts w:ascii="Times New Roman" w:hAnsi="Times New Roman" w:cs="Times New Roman"/>
          <w:iCs/>
        </w:rPr>
        <w:t xml:space="preserve"> (or order) and period,</w:t>
      </w:r>
      <w:r>
        <w:rPr>
          <w:rFonts w:ascii="Times New Roman" w:hAnsi="Times New Roman" w:cs="Times New Roman"/>
          <w:iCs/>
        </w:rPr>
        <w:t xml:space="preserve"> which is associated with the d</w:t>
      </w:r>
      <w:r w:rsidR="00B40709">
        <w:rPr>
          <w:rFonts w:ascii="Times New Roman" w:hAnsi="Times New Roman" w:cs="Times New Roman"/>
          <w:iCs/>
        </w:rPr>
        <w:t>i</w:t>
      </w:r>
      <w:r>
        <w:rPr>
          <w:rFonts w:ascii="Times New Roman" w:hAnsi="Times New Roman" w:cs="Times New Roman"/>
          <w:iCs/>
        </w:rPr>
        <w:t>m</w:t>
      </w:r>
      <w:r w:rsidR="00B40709">
        <w:rPr>
          <w:rFonts w:ascii="Times New Roman" w:hAnsi="Times New Roman" w:cs="Times New Roman"/>
          <w:iCs/>
        </w:rPr>
        <w:t>en</w:t>
      </w:r>
      <w:r>
        <w:rPr>
          <w:rFonts w:ascii="Times New Roman" w:hAnsi="Times New Roman" w:cs="Times New Roman"/>
          <w:iCs/>
        </w:rPr>
        <w:t>sion</w:t>
      </w:r>
      <w:r w:rsidR="00B40709">
        <w:rPr>
          <w:rFonts w:ascii="Times New Roman" w:hAnsi="Times New Roman" w:cs="Times New Roman"/>
          <w:iCs/>
        </w:rPr>
        <w:t>s</w:t>
      </w:r>
      <w:r>
        <w:rPr>
          <w:rFonts w:ascii="Times New Roman" w:hAnsi="Times New Roman" w:cs="Times New Roman"/>
          <w:iCs/>
        </w:rPr>
        <w:t xml:space="preserve"> of training covariance matrices. If you require</w:t>
      </w:r>
      <w:r w:rsidR="00B40709">
        <w:rPr>
          <w:rFonts w:ascii="Times New Roman" w:hAnsi="Times New Roman" w:cs="Times New Roman"/>
          <w:iCs/>
        </w:rPr>
        <w:t xml:space="preserve"> more,</w:t>
      </w:r>
      <w:r>
        <w:rPr>
          <w:rFonts w:ascii="Times New Roman" w:hAnsi="Times New Roman" w:cs="Times New Roman"/>
          <w:iCs/>
        </w:rPr>
        <w:t xml:space="preserve"> </w:t>
      </w:r>
      <w:r w:rsidR="00BF6941">
        <w:rPr>
          <w:rFonts w:ascii="Times New Roman" w:hAnsi="Times New Roman" w:cs="Times New Roman"/>
        </w:rPr>
        <w:t xml:space="preserve">please contact </w:t>
      </w:r>
      <w:r w:rsidR="00BF6941" w:rsidRPr="00B40709">
        <w:rPr>
          <w:rFonts w:ascii="Times New Roman" w:hAnsi="Times New Roman" w:cs="Times New Roman"/>
          <w:color w:val="4472C4" w:themeColor="accent1"/>
        </w:rPr>
        <w:t>2011480@tongji.edu.cn</w:t>
      </w:r>
      <w:r w:rsidR="00BF6941">
        <w:rPr>
          <w:rFonts w:ascii="Times New Roman" w:hAnsi="Times New Roman" w:cs="Times New Roman"/>
        </w:rPr>
        <w:t>.</w:t>
      </w:r>
    </w:p>
    <w:p w14:paraId="5575632D" w14:textId="510A492C" w:rsidR="009F2DE0" w:rsidRPr="009F2DE0" w:rsidRDefault="009F2DE0" w:rsidP="006050E8">
      <w:pPr>
        <w:rPr>
          <w:rFonts w:ascii="Times New Roman" w:hAnsi="Times New Roman" w:cs="Times New Roman"/>
        </w:rPr>
      </w:pPr>
    </w:p>
    <w:sectPr w:rsidR="009F2DE0" w:rsidRPr="009F2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41B75"/>
    <w:multiLevelType w:val="hybridMultilevel"/>
    <w:tmpl w:val="1474F770"/>
    <w:lvl w:ilvl="0" w:tplc="1172A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51020F"/>
    <w:multiLevelType w:val="hybridMultilevel"/>
    <w:tmpl w:val="E4AC237A"/>
    <w:lvl w:ilvl="0" w:tplc="C9CC1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A250F19"/>
    <w:multiLevelType w:val="hybridMultilevel"/>
    <w:tmpl w:val="3F2CCEC4"/>
    <w:lvl w:ilvl="0" w:tplc="60C28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ACD3170"/>
    <w:multiLevelType w:val="hybridMultilevel"/>
    <w:tmpl w:val="9E940886"/>
    <w:lvl w:ilvl="0" w:tplc="6D70D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7047516">
    <w:abstractNumId w:val="2"/>
  </w:num>
  <w:num w:numId="2" w16cid:durableId="278804281">
    <w:abstractNumId w:val="3"/>
  </w:num>
  <w:num w:numId="3" w16cid:durableId="99499127">
    <w:abstractNumId w:val="1"/>
  </w:num>
  <w:num w:numId="4" w16cid:durableId="154012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73"/>
    <w:rsid w:val="001A7F35"/>
    <w:rsid w:val="001C4AC9"/>
    <w:rsid w:val="001F07AF"/>
    <w:rsid w:val="00227521"/>
    <w:rsid w:val="003139A5"/>
    <w:rsid w:val="00433065"/>
    <w:rsid w:val="00513B73"/>
    <w:rsid w:val="00575B52"/>
    <w:rsid w:val="006050E8"/>
    <w:rsid w:val="00661BEF"/>
    <w:rsid w:val="006B07FF"/>
    <w:rsid w:val="0092258A"/>
    <w:rsid w:val="009F2DE0"/>
    <w:rsid w:val="00A758E4"/>
    <w:rsid w:val="00B40709"/>
    <w:rsid w:val="00BF6941"/>
    <w:rsid w:val="00DC2254"/>
    <w:rsid w:val="00F412C6"/>
    <w:rsid w:val="00FD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0820"/>
  <w15:chartTrackingRefBased/>
  <w15:docId w15:val="{A1EDD0D1-B8D4-462A-8F6A-E9B6A751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B73"/>
    <w:pPr>
      <w:ind w:firstLineChars="200" w:firstLine="420"/>
    </w:pPr>
  </w:style>
  <w:style w:type="character" w:styleId="a4">
    <w:name w:val="Hyperlink"/>
    <w:basedOn w:val="a0"/>
    <w:unhideWhenUsed/>
    <w:rsid w:val="009F2DE0"/>
    <w:rPr>
      <w:color w:val="0563C1" w:themeColor="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zhang</dc:creator>
  <cp:keywords/>
  <dc:description/>
  <cp:lastModifiedBy>lin zhang</cp:lastModifiedBy>
  <cp:revision>8</cp:revision>
  <dcterms:created xsi:type="dcterms:W3CDTF">2023-12-28T03:06:00Z</dcterms:created>
  <dcterms:modified xsi:type="dcterms:W3CDTF">2023-12-28T07:17:00Z</dcterms:modified>
</cp:coreProperties>
</file>