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Перечисления: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микропроцессора-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Intel® Core™ i3-10110U 10-го поколения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тактовая частота микропроцессора- 2,4 ГГц and 5 ГГц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и вид памяти - 8/16 ГБ DDR4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системной платы;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шины системной платы (ISA, VLB, PCI, AGP и т.д.); 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накопители на магнитных и магнитооптических дисках;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винчестера- 311CD0512GB  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ёмкость-42 Вт*ч (номинальная емкость)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(SCSI, ATA, Ultra-ATA):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клавиатура-PS/2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HD- камера.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Биометрическая камера - Goodix Fingerprint SPI Device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Контроллеры IDE ATA/ATAPI- стандартный контроллер SATA AHCI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Монитор -  BOE Pnp Monitor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Мышь- HID 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Аудиовходы и аудиовыходы - Microphone Array, Speakers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видеопамяти- 48,8 ГБ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питания HUAWEI USB-C переменного тока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Сетевые адаптеры- WAN Miniport (IP),WAN Miniport (IKEv2), WAN Miniport (IPv6), WAN Miniport (L2TP), WAN Miniport (PPPOE), WAN Miniport (PPTP)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Видеоадаптеры - Intel(R) UHD Graphics, Virtual Display Device. 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устройства- AAP Server.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Батареи- адаптер переменного тока, Батарея с ACPI-совместимым управлением.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