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2bca6bc650bd4f5e" /><Relationship Type="http://schemas.openxmlformats.org/package/2006/relationships/metadata/core-properties" Target="package/services/metadata/core-properties/05bb6c167f8f41bab83fc067dd4a3304.psmdcp" Id="R5ac98603134246e3"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45810CEE" w:rsidRDefault="00000000" w14:paraId="56A23368" w14:textId="2E1F9EDA">
      <w:pPr>
        <w:jc w:val="center"/>
        <w:rPr>
          <w:b w:val="1"/>
          <w:bCs w:val="1"/>
          <w:sz w:val="28"/>
          <w:szCs w:val="28"/>
          <w:rtl w:val="0"/>
        </w:rPr>
      </w:pPr>
      <w:r w:rsidRPr="45810CEE" w:rsidR="45810CEE">
        <w:rPr>
          <w:b w:val="1"/>
          <w:bCs w:val="1"/>
          <w:sz w:val="28"/>
          <w:szCs w:val="28"/>
        </w:rPr>
        <w:t>ESL-117A:  Integrated Reading and Writing:  Advanced English Language Learners</w:t>
      </w:r>
    </w:p>
    <w:p w:rsidRPr="00000000" w:rsidR="00000000" w:rsidDel="00000000" w:rsidP="45810CEE" w:rsidRDefault="00000000" w14:paraId="00000001" w14:textId="696E20B1">
      <w:pPr>
        <w:jc w:val="center"/>
        <w:rPr>
          <w:b w:val="1"/>
          <w:bCs w:val="1"/>
          <w:sz w:val="28"/>
          <w:szCs w:val="28"/>
        </w:rPr>
      </w:pPr>
      <w:r w:rsidRPr="009EB780" w:rsidR="45810CEE">
        <w:rPr>
          <w:b w:val="1"/>
          <w:bCs w:val="1"/>
          <w:sz w:val="28"/>
          <w:szCs w:val="28"/>
        </w:rPr>
        <w:t>(Effective Fall, 2020)</w:t>
      </w:r>
    </w:p>
    <w:p w:rsidR="009EB780" w:rsidP="009EB780" w:rsidRDefault="009EB780" w14:paraId="7C32208F" w14:textId="4450343D">
      <w:pPr>
        <w:pStyle w:val="Normal"/>
        <w:jc w:val="center"/>
        <w:rPr>
          <w:b w:val="1"/>
          <w:bCs w:val="1"/>
          <w:sz w:val="28"/>
          <w:szCs w:val="28"/>
        </w:rPr>
      </w:pPr>
      <w:r w:rsidRPr="009EB780" w:rsidR="009EB780">
        <w:rPr>
          <w:b w:val="1"/>
          <w:bCs w:val="1"/>
          <w:sz w:val="28"/>
          <w:szCs w:val="28"/>
        </w:rPr>
        <w:t>5 Units</w:t>
      </w:r>
    </w:p>
    <w:p w:rsidRPr="00000000" w:rsidR="00000000" w:rsidDel="00000000" w:rsidP="00000000" w:rsidRDefault="00000000" w14:paraId="00000002">
      <w:pPr>
        <w:rPr>
          <w:sz w:val="28"/>
          <w:szCs w:val="28"/>
        </w:rPr>
      </w:pPr>
      <w:r w:rsidRPr="00000000" w:rsidDel="00000000" w:rsidR="00000000">
        <w:rPr>
          <w:rtl w:val="0"/>
        </w:rPr>
      </w:r>
    </w:p>
    <w:p w:rsidRPr="00000000" w:rsidR="00000000" w:rsidDel="00000000" w:rsidP="00000000" w:rsidRDefault="00000000" w14:paraId="00000003">
      <w:pPr>
        <w:rPr>
          <w:sz w:val="28"/>
          <w:szCs w:val="28"/>
        </w:rPr>
      </w:pPr>
      <w:r w:rsidRPr="00000000" w:rsidDel="00000000" w:rsidR="00000000">
        <w:rPr>
          <w:sz w:val="28"/>
          <w:szCs w:val="28"/>
          <w:rtl w:val="0"/>
        </w:rPr>
        <w:t xml:space="preserve">Course Description:</w:t>
      </w:r>
    </w:p>
    <w:p w:rsidRPr="00000000" w:rsidR="00000000" w:rsidDel="00000000" w:rsidP="00000000" w:rsidRDefault="00000000" w14:paraId="00000004">
      <w:pPr>
        <w:rPr>
          <w:sz w:val="28"/>
          <w:szCs w:val="28"/>
        </w:rPr>
      </w:pPr>
      <w:r w:rsidRPr="00000000" w:rsidDel="00000000" w:rsidR="00000000">
        <w:rPr>
          <w:rtl w:val="0"/>
        </w:rPr>
      </w:r>
    </w:p>
    <w:p w:rsidRPr="00000000" w:rsidR="00000000" w:rsidDel="00000000" w:rsidP="00000000" w:rsidRDefault="00000000" w14:paraId="00000005">
      <w:pPr>
        <w:rPr>
          <w:sz w:val="28"/>
          <w:szCs w:val="28"/>
        </w:rPr>
      </w:pPr>
      <w:r w:rsidRPr="00000000" w:rsidDel="00000000" w:rsidR="00000000">
        <w:rPr>
          <w:sz w:val="28"/>
          <w:szCs w:val="28"/>
          <w:highlight w:val="white"/>
          <w:rtl w:val="0"/>
        </w:rPr>
        <w:t xml:space="preserve">This course provides an integrated approach to reading and writing for highly advanced English-language learners to prepare them for ENGL-122, transfer-level English. Students will prepare for college-level work; practice critical reading, writing, and thinking skills; and improve their vocabulary and study skills. Students will also actively engage with their peers, read and interact with a variety of college-level texts, and complete both formal and informal writing assignments connected to these readings. The central focus throughout the course will be on the ways reading and writing inform each other. The course will also cover grammar concepts and revision and editing methods specific to English-language learners.</w:t>
      </w:r>
      <w:r w:rsidRPr="00000000" w:rsidDel="00000000" w:rsidR="00000000">
        <w:rPr>
          <w:rtl w:val="0"/>
        </w:rPr>
      </w:r>
    </w:p>
    <w:p w:rsidRPr="00000000" w:rsidR="00000000" w:rsidDel="00000000" w:rsidP="00000000" w:rsidRDefault="00000000" w14:paraId="00000006">
      <w:pPr>
        <w:rPr>
          <w:sz w:val="28"/>
          <w:szCs w:val="28"/>
        </w:rPr>
      </w:pPr>
      <w:r w:rsidRPr="00000000" w:rsidDel="00000000" w:rsidR="00000000">
        <w:rPr>
          <w:rtl w:val="0"/>
        </w:rPr>
      </w:r>
    </w:p>
    <w:p w:rsidRPr="00000000" w:rsidR="00000000" w:rsidDel="00000000" w:rsidP="00000000" w:rsidRDefault="00000000" w14:paraId="00000007">
      <w:pPr>
        <w:rPr>
          <w:sz w:val="28"/>
          <w:szCs w:val="28"/>
        </w:rPr>
      </w:pPr>
      <w:r w:rsidRPr="00000000" w:rsidDel="00000000" w:rsidR="00000000">
        <w:rPr>
          <w:rtl w:val="0"/>
        </w:rPr>
      </w:r>
    </w:p>
    <w:p w:rsidRPr="00000000" w:rsidR="00000000" w:rsidDel="00000000" w:rsidP="00000000" w:rsidRDefault="00000000" w14:paraId="00000008">
      <w:pPr>
        <w:rPr>
          <w:sz w:val="28"/>
          <w:szCs w:val="28"/>
        </w:rPr>
      </w:pPr>
      <w:r w:rsidRPr="00000000" w:rsidDel="00000000" w:rsidR="00000000">
        <w:rPr>
          <w:sz w:val="28"/>
          <w:szCs w:val="28"/>
          <w:rtl w:val="0"/>
        </w:rPr>
        <w:t xml:space="preserve">Course Student Learning Objectives:</w:t>
      </w:r>
    </w:p>
    <w:p w:rsidRPr="00000000" w:rsidR="00000000" w:rsidDel="00000000" w:rsidP="00000000" w:rsidRDefault="00000000" w14:paraId="00000009">
      <w:pPr>
        <w:rPr>
          <w:sz w:val="28"/>
          <w:szCs w:val="28"/>
        </w:rPr>
      </w:pPr>
      <w:r w:rsidRPr="00000000" w:rsidDel="00000000" w:rsidR="00000000">
        <w:rPr>
          <w:rtl w:val="0"/>
        </w:rPr>
      </w:r>
    </w:p>
    <w:p w:rsidRPr="00000000" w:rsidR="00000000" w:rsidDel="00000000" w:rsidP="00000000" w:rsidRDefault="00000000" w14:paraId="0000000A">
      <w:pPr>
        <w:numPr>
          <w:ilvl w:val="0"/>
          <w:numId w:val="1"/>
        </w:numPr>
        <w:ind w:left="720" w:hanging="360"/>
        <w:rPr>
          <w:sz w:val="28"/>
          <w:szCs w:val="28"/>
          <w:u w:val="none"/>
        </w:rPr>
      </w:pPr>
      <w:r w:rsidRPr="00000000" w:rsidDel="00000000" w:rsidR="00000000">
        <w:rPr>
          <w:sz w:val="28"/>
          <w:szCs w:val="28"/>
          <w:rtl w:val="0"/>
        </w:rPr>
        <w:t xml:space="preserve">Comprehend and recall college-level readings.</w:t>
      </w:r>
    </w:p>
    <w:p w:rsidRPr="00000000" w:rsidR="00000000" w:rsidDel="00000000" w:rsidP="00000000" w:rsidRDefault="00000000" w14:paraId="0000000B">
      <w:pPr>
        <w:numPr>
          <w:ilvl w:val="0"/>
          <w:numId w:val="1"/>
        </w:numPr>
        <w:ind w:left="720" w:hanging="360"/>
        <w:rPr>
          <w:sz w:val="28"/>
          <w:szCs w:val="28"/>
          <w:u w:val="none"/>
        </w:rPr>
      </w:pPr>
      <w:r w:rsidRPr="00000000" w:rsidDel="00000000" w:rsidR="00000000">
        <w:rPr>
          <w:sz w:val="28"/>
          <w:szCs w:val="28"/>
          <w:rtl w:val="0"/>
        </w:rPr>
        <w:t xml:space="preserve">Apply appropriate pre-reading techniques to college-level texts.</w:t>
      </w:r>
    </w:p>
    <w:p w:rsidRPr="00000000" w:rsidR="00000000" w:rsidDel="00000000" w:rsidP="00000000" w:rsidRDefault="00000000" w14:paraId="0000000C">
      <w:pPr>
        <w:numPr>
          <w:ilvl w:val="0"/>
          <w:numId w:val="1"/>
        </w:numPr>
        <w:ind w:left="720" w:hanging="360"/>
        <w:rPr>
          <w:sz w:val="28"/>
          <w:szCs w:val="28"/>
          <w:u w:val="none"/>
        </w:rPr>
      </w:pPr>
      <w:r w:rsidRPr="00000000" w:rsidDel="00000000" w:rsidR="00000000">
        <w:rPr>
          <w:sz w:val="28"/>
          <w:szCs w:val="28"/>
          <w:rtl w:val="0"/>
        </w:rPr>
        <w:t xml:space="preserve">Use reading strategies to read and comprehend college-level texts.</w:t>
      </w:r>
    </w:p>
    <w:p w:rsidRPr="00000000" w:rsidR="00000000" w:rsidDel="00000000" w:rsidP="00000000" w:rsidRDefault="00000000" w14:paraId="0000000D">
      <w:pPr>
        <w:numPr>
          <w:ilvl w:val="0"/>
          <w:numId w:val="1"/>
        </w:numPr>
        <w:ind w:left="720" w:hanging="360"/>
        <w:rPr>
          <w:sz w:val="28"/>
          <w:szCs w:val="28"/>
          <w:u w:val="none"/>
        </w:rPr>
      </w:pPr>
      <w:r w:rsidRPr="00000000" w:rsidDel="00000000" w:rsidR="00000000">
        <w:rPr>
          <w:sz w:val="28"/>
          <w:szCs w:val="28"/>
          <w:rtl w:val="0"/>
        </w:rPr>
        <w:t xml:space="preserve">Apply pre-reading and reading strategies to their own essays and those of their peers.</w:t>
      </w:r>
    </w:p>
    <w:p w:rsidRPr="00000000" w:rsidR="00000000" w:rsidDel="00000000" w:rsidP="00000000" w:rsidRDefault="00000000" w14:paraId="0000000E">
      <w:pPr>
        <w:numPr>
          <w:ilvl w:val="0"/>
          <w:numId w:val="1"/>
        </w:numPr>
        <w:ind w:left="720" w:hanging="360"/>
        <w:rPr>
          <w:sz w:val="28"/>
          <w:szCs w:val="28"/>
          <w:u w:val="none"/>
        </w:rPr>
      </w:pPr>
      <w:r w:rsidRPr="00000000" w:rsidDel="00000000" w:rsidR="00000000">
        <w:rPr>
          <w:sz w:val="28"/>
          <w:szCs w:val="28"/>
          <w:rtl w:val="0"/>
        </w:rPr>
        <w:t xml:space="preserve">Analyze a text for its central idea and basic organizational structure.</w:t>
      </w:r>
    </w:p>
    <w:p w:rsidRPr="00000000" w:rsidR="00000000" w:rsidDel="00000000" w:rsidP="00000000" w:rsidRDefault="00000000" w14:paraId="0000000F">
      <w:pPr>
        <w:numPr>
          <w:ilvl w:val="0"/>
          <w:numId w:val="1"/>
        </w:numPr>
        <w:ind w:left="720" w:hanging="360"/>
        <w:rPr>
          <w:sz w:val="28"/>
          <w:szCs w:val="28"/>
          <w:u w:val="none"/>
        </w:rPr>
      </w:pPr>
      <w:r w:rsidRPr="00000000" w:rsidDel="00000000" w:rsidR="00000000">
        <w:rPr>
          <w:sz w:val="28"/>
          <w:szCs w:val="28"/>
          <w:rtl w:val="0"/>
        </w:rPr>
        <w:t xml:space="preserve">Recognize and identify assumptions, purpose, and implications in a text, whether in their own, a peer’s, or a professional writer’s work.</w:t>
      </w:r>
    </w:p>
    <w:p w:rsidRPr="00000000" w:rsidR="00000000" w:rsidDel="00000000" w:rsidP="00000000" w:rsidRDefault="00000000" w14:paraId="00000010">
      <w:pPr>
        <w:numPr>
          <w:ilvl w:val="0"/>
          <w:numId w:val="1"/>
        </w:numPr>
        <w:ind w:left="720" w:hanging="360"/>
        <w:rPr>
          <w:sz w:val="28"/>
          <w:szCs w:val="28"/>
          <w:u w:val="none"/>
        </w:rPr>
      </w:pPr>
      <w:r w:rsidRPr="00000000" w:rsidDel="00000000" w:rsidR="00000000">
        <w:rPr>
          <w:sz w:val="28"/>
          <w:szCs w:val="28"/>
          <w:rtl w:val="0"/>
        </w:rPr>
        <w:t xml:space="preserve">Identify figurative language and tone.</w:t>
      </w:r>
    </w:p>
    <w:p w:rsidRPr="00000000" w:rsidR="00000000" w:rsidDel="00000000" w:rsidP="00000000" w:rsidRDefault="00000000" w14:paraId="00000011">
      <w:pPr>
        <w:numPr>
          <w:ilvl w:val="0"/>
          <w:numId w:val="1"/>
        </w:numPr>
        <w:ind w:left="720" w:hanging="360"/>
        <w:rPr>
          <w:sz w:val="28"/>
          <w:szCs w:val="28"/>
          <w:u w:val="none"/>
        </w:rPr>
      </w:pPr>
      <w:r w:rsidRPr="00000000" w:rsidDel="00000000" w:rsidR="00000000">
        <w:rPr>
          <w:sz w:val="28"/>
          <w:szCs w:val="28"/>
          <w:rtl w:val="0"/>
        </w:rPr>
        <w:t xml:space="preserve">Improve their vocabulary through reading.</w:t>
      </w:r>
    </w:p>
    <w:p w:rsidRPr="00000000" w:rsidR="00000000" w:rsidDel="00000000" w:rsidP="00000000" w:rsidRDefault="00000000" w14:paraId="00000012">
      <w:pPr>
        <w:numPr>
          <w:ilvl w:val="0"/>
          <w:numId w:val="1"/>
        </w:numPr>
        <w:ind w:left="720" w:hanging="360"/>
        <w:rPr>
          <w:sz w:val="28"/>
          <w:szCs w:val="28"/>
          <w:u w:val="none"/>
        </w:rPr>
      </w:pPr>
      <w:r w:rsidRPr="00000000" w:rsidDel="00000000" w:rsidR="00000000">
        <w:rPr>
          <w:sz w:val="28"/>
          <w:szCs w:val="28"/>
          <w:rtl w:val="0"/>
        </w:rPr>
        <w:t xml:space="preserve">Use reading strategies to improve their own reading.</w:t>
      </w:r>
    </w:p>
    <w:p w:rsidRPr="00000000" w:rsidR="00000000" w:rsidDel="00000000" w:rsidP="00000000" w:rsidRDefault="00000000" w14:paraId="00000013">
      <w:pPr>
        <w:numPr>
          <w:ilvl w:val="0"/>
          <w:numId w:val="1"/>
        </w:numPr>
        <w:ind w:left="720" w:hanging="360"/>
        <w:rPr>
          <w:sz w:val="28"/>
          <w:szCs w:val="28"/>
          <w:u w:val="none"/>
        </w:rPr>
      </w:pPr>
      <w:r w:rsidRPr="00000000" w:rsidDel="00000000" w:rsidR="00000000">
        <w:rPr>
          <w:sz w:val="28"/>
          <w:szCs w:val="28"/>
          <w:rtl w:val="0"/>
        </w:rPr>
        <w:t xml:space="preserve">Complete the steps of the writing process, including generating ideas, drafting, and revising in response to peer and instructor feedback.</w:t>
      </w:r>
    </w:p>
    <w:p w:rsidRPr="00000000" w:rsidR="00000000" w:rsidDel="00000000" w:rsidP="00000000" w:rsidRDefault="00000000" w14:paraId="00000014">
      <w:pPr>
        <w:numPr>
          <w:ilvl w:val="0"/>
          <w:numId w:val="1"/>
        </w:numPr>
        <w:ind w:left="720" w:hanging="360"/>
        <w:rPr>
          <w:sz w:val="28"/>
          <w:szCs w:val="28"/>
          <w:u w:val="none"/>
        </w:rPr>
      </w:pPr>
      <w:r w:rsidRPr="00000000" w:rsidDel="00000000" w:rsidR="00000000">
        <w:rPr>
          <w:sz w:val="28"/>
          <w:szCs w:val="28"/>
          <w:rtl w:val="0"/>
        </w:rPr>
        <w:t xml:space="preserve">Write well-structured essays that have a focused thesis and developed, well-supported paragraphs with appropriate transitional elements.</w:t>
      </w:r>
    </w:p>
    <w:p w:rsidRPr="00000000" w:rsidR="00000000" w:rsidDel="00000000" w:rsidP="00000000" w:rsidRDefault="00000000" w14:paraId="00000015">
      <w:pPr>
        <w:numPr>
          <w:ilvl w:val="0"/>
          <w:numId w:val="1"/>
        </w:numPr>
        <w:ind w:left="720" w:hanging="360"/>
        <w:rPr>
          <w:sz w:val="28"/>
          <w:szCs w:val="28"/>
          <w:u w:val="none"/>
        </w:rPr>
      </w:pPr>
      <w:r w:rsidRPr="00000000" w:rsidDel="00000000" w:rsidR="00000000">
        <w:rPr>
          <w:sz w:val="28"/>
          <w:szCs w:val="28"/>
          <w:rtl w:val="0"/>
        </w:rPr>
        <w:t xml:space="preserve">Analyze college-level readings and integrate them meaningfully into formal essays.</w:t>
      </w:r>
    </w:p>
    <w:p w:rsidRPr="00000000" w:rsidR="00000000" w:rsidDel="00000000" w:rsidP="00000000" w:rsidRDefault="00000000" w14:paraId="00000016">
      <w:pPr>
        <w:numPr>
          <w:ilvl w:val="0"/>
          <w:numId w:val="1"/>
        </w:numPr>
        <w:ind w:left="720" w:hanging="360"/>
        <w:rPr>
          <w:sz w:val="28"/>
          <w:szCs w:val="28"/>
          <w:u w:val="none"/>
        </w:rPr>
      </w:pPr>
      <w:r w:rsidRPr="00000000" w:rsidDel="00000000" w:rsidR="00000000">
        <w:rPr>
          <w:sz w:val="28"/>
          <w:szCs w:val="28"/>
          <w:rtl w:val="0"/>
        </w:rPr>
        <w:t xml:space="preserve">Use a variety of rhetorical strategies to support ideas in their own writing.</w:t>
      </w:r>
    </w:p>
    <w:p w:rsidRPr="00000000" w:rsidR="00000000" w:rsidDel="00000000" w:rsidP="00000000" w:rsidRDefault="00000000" w14:paraId="00000017">
      <w:pPr>
        <w:numPr>
          <w:ilvl w:val="0"/>
          <w:numId w:val="1"/>
        </w:numPr>
        <w:ind w:left="720" w:hanging="360"/>
        <w:rPr>
          <w:sz w:val="28"/>
          <w:szCs w:val="28"/>
          <w:u w:val="none"/>
        </w:rPr>
      </w:pPr>
      <w:r w:rsidRPr="00000000" w:rsidDel="00000000" w:rsidR="00000000">
        <w:rPr>
          <w:sz w:val="28"/>
          <w:szCs w:val="28"/>
          <w:rtl w:val="0"/>
        </w:rPr>
        <w:t xml:space="preserve">Develop a unique voice in their writing.</w:t>
      </w:r>
    </w:p>
    <w:p w:rsidRPr="00000000" w:rsidR="00000000" w:rsidDel="00000000" w:rsidP="00000000" w:rsidRDefault="00000000" w14:paraId="00000018">
      <w:pPr>
        <w:numPr>
          <w:ilvl w:val="0"/>
          <w:numId w:val="1"/>
        </w:numPr>
        <w:ind w:left="720" w:hanging="360"/>
        <w:rPr>
          <w:sz w:val="28"/>
          <w:szCs w:val="28"/>
          <w:u w:val="none"/>
        </w:rPr>
      </w:pPr>
      <w:r w:rsidRPr="00000000" w:rsidDel="00000000" w:rsidR="00000000">
        <w:rPr>
          <w:sz w:val="28"/>
          <w:szCs w:val="28"/>
          <w:rtl w:val="0"/>
        </w:rPr>
        <w:t xml:space="preserve">Revise and edit to achieve clarity of ideas and correctness of grammar, punctuation and mechanics.</w:t>
      </w:r>
    </w:p>
    <w:p w:rsidRPr="00000000" w:rsidR="00000000" w:rsidDel="00000000" w:rsidP="00000000" w:rsidRDefault="00000000" w14:paraId="00000019">
      <w:pPr>
        <w:numPr>
          <w:ilvl w:val="0"/>
          <w:numId w:val="1"/>
        </w:numPr>
        <w:ind w:left="720" w:hanging="360"/>
        <w:rPr>
          <w:sz w:val="28"/>
          <w:szCs w:val="28"/>
          <w:u w:val="none"/>
        </w:rPr>
      </w:pPr>
      <w:r w:rsidRPr="00000000" w:rsidDel="00000000" w:rsidR="00000000">
        <w:rPr>
          <w:sz w:val="28"/>
          <w:szCs w:val="28"/>
          <w:rtl w:val="0"/>
        </w:rPr>
        <w:t xml:space="preserve">Control sentence boundaries and write varied sentences that are relatively free of error.</w:t>
      </w:r>
    </w:p>
    <w:p w:rsidRPr="00000000" w:rsidR="00000000" w:rsidDel="00000000" w:rsidP="00000000" w:rsidRDefault="00000000" w14:paraId="0000001A">
      <w:pPr>
        <w:numPr>
          <w:ilvl w:val="0"/>
          <w:numId w:val="1"/>
        </w:numPr>
        <w:ind w:left="720" w:hanging="360"/>
        <w:rPr>
          <w:sz w:val="28"/>
          <w:szCs w:val="28"/>
          <w:u w:val="none"/>
        </w:rPr>
      </w:pPr>
      <w:r w:rsidRPr="00000000" w:rsidDel="00000000" w:rsidR="00000000">
        <w:rPr>
          <w:sz w:val="28"/>
          <w:szCs w:val="28"/>
          <w:rtl w:val="0"/>
        </w:rPr>
        <w:t xml:space="preserve">Achieve unity and coherence in written essays that use the following correctly: conjunctions and sentence connectors; transition phrases and sentences; synonyms and pronouns; sentence variety.</w:t>
      </w:r>
    </w:p>
    <w:p w:rsidRPr="00000000" w:rsidR="00000000" w:rsidDel="00000000" w:rsidP="00000000" w:rsidRDefault="00000000" w14:paraId="0000001B">
      <w:pPr>
        <w:numPr>
          <w:ilvl w:val="0"/>
          <w:numId w:val="1"/>
        </w:numPr>
        <w:ind w:left="720" w:hanging="360"/>
        <w:rPr>
          <w:sz w:val="28"/>
          <w:szCs w:val="28"/>
          <w:u w:val="none"/>
        </w:rPr>
      </w:pPr>
      <w:r w:rsidRPr="00000000" w:rsidDel="00000000" w:rsidR="00000000">
        <w:rPr>
          <w:sz w:val="28"/>
          <w:szCs w:val="28"/>
          <w:rtl w:val="0"/>
        </w:rPr>
        <w:t xml:space="preserve">Identify campus resources for college success.</w:t>
      </w:r>
    </w:p>
    <w:p w:rsidRPr="00000000" w:rsidR="00000000" w:rsidDel="00000000" w:rsidP="00000000" w:rsidRDefault="00000000" w14:paraId="0000001C">
      <w:pPr>
        <w:rPr>
          <w:sz w:val="28"/>
          <w:szCs w:val="28"/>
        </w:rPr>
      </w:pPr>
      <w:r w:rsidRPr="00000000" w:rsidDel="00000000" w:rsidR="00000000">
        <w:rPr>
          <w:rtl w:val="0"/>
        </w:rPr>
      </w:r>
    </w:p>
    <w:p w:rsidRPr="00000000" w:rsidR="00000000" w:rsidDel="00000000" w:rsidP="00000000" w:rsidRDefault="00000000" w14:paraId="0000001D">
      <w:pPr>
        <w:rPr>
          <w:sz w:val="28"/>
          <w:szCs w:val="28"/>
        </w:rPr>
      </w:pPr>
      <w:r w:rsidRPr="00000000" w:rsidDel="00000000" w:rsidR="00000000">
        <w:rPr>
          <w:rtl w:val="0"/>
        </w:rPr>
      </w:r>
    </w:p>
    <w:p w:rsidRPr="00000000" w:rsidR="00000000" w:rsidDel="00000000" w:rsidP="00000000" w:rsidRDefault="00000000" w14:paraId="0000001E">
      <w:pPr>
        <w:rPr>
          <w:sz w:val="28"/>
          <w:szCs w:val="28"/>
          <w:highlight w:val="white"/>
        </w:rPr>
      </w:pPr>
      <w:r w:rsidRPr="00000000" w:rsidDel="00000000" w:rsidR="00000000">
        <w:rPr>
          <w:sz w:val="28"/>
          <w:szCs w:val="28"/>
          <w:highlight w:val="white"/>
          <w:rtl w:val="0"/>
        </w:rPr>
        <w:t xml:space="preserve">Course Content:</w:t>
      </w:r>
    </w:p>
    <w:p w:rsidRPr="00000000" w:rsidR="00000000" w:rsidDel="00000000" w:rsidP="00000000" w:rsidRDefault="00000000" w14:paraId="0000001F">
      <w:pPr>
        <w:numPr>
          <w:ilvl w:val="0"/>
          <w:numId w:val="2"/>
        </w:numPr>
        <w:spacing w:before="220" w:after="0" w:afterAutospacing="0" w:lineRule="auto"/>
        <w:ind w:left="720" w:hanging="360"/>
        <w:rPr>
          <w:sz w:val="28"/>
          <w:szCs w:val="28"/>
        </w:rPr>
      </w:pPr>
      <w:r w:rsidRPr="00000000" w:rsidDel="00000000" w:rsidR="00000000">
        <w:rPr>
          <w:sz w:val="28"/>
          <w:szCs w:val="28"/>
          <w:rtl w:val="0"/>
        </w:rPr>
        <w:t xml:space="preserve">Methods for pre-reading (e.g. skimming, scanning, asking logical questions)</w:t>
      </w:r>
    </w:p>
    <w:p w:rsidRPr="00000000" w:rsidR="00000000" w:rsidDel="00000000" w:rsidP="00000000" w:rsidRDefault="00000000" w14:paraId="00000020">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Methods for demonstrating an understanding of a text</w:t>
      </w:r>
    </w:p>
    <w:p w:rsidRPr="00000000" w:rsidR="00000000" w:rsidDel="00000000" w:rsidP="00000000" w:rsidRDefault="00000000" w14:paraId="00000021">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Annotation</w:t>
      </w:r>
    </w:p>
    <w:p w:rsidRPr="00000000" w:rsidR="00000000" w:rsidDel="00000000" w:rsidP="00000000" w:rsidRDefault="00000000" w14:paraId="00000022">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Graphic organization (e.g. TIPS chart, outlines, concept map)</w:t>
      </w:r>
    </w:p>
    <w:p w:rsidRPr="00000000" w:rsidR="00000000" w:rsidDel="00000000" w:rsidP="00000000" w:rsidRDefault="00000000" w14:paraId="00000023">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Reading response (e.g. summary, summary response, reading comprehension questions)</w:t>
      </w:r>
    </w:p>
    <w:p w:rsidRPr="00000000" w:rsidR="00000000" w:rsidDel="00000000" w:rsidP="00000000" w:rsidRDefault="00000000" w14:paraId="00000024">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Strategies for close reading of a text (e.g. dialectical journals, glossing)</w:t>
      </w:r>
    </w:p>
    <w:p w:rsidRPr="00000000" w:rsidR="00000000" w:rsidDel="00000000" w:rsidP="00000000" w:rsidRDefault="00000000" w14:paraId="00000025">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Figurative language</w:t>
      </w:r>
    </w:p>
    <w:p w:rsidRPr="00000000" w:rsidR="00000000" w:rsidDel="00000000" w:rsidP="00000000" w:rsidRDefault="00000000" w14:paraId="00000026">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Metaphor, simile, and analogies</w:t>
      </w:r>
    </w:p>
    <w:p w:rsidRPr="00000000" w:rsidR="00000000" w:rsidDel="00000000" w:rsidP="00000000" w:rsidRDefault="00000000" w14:paraId="00000027">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Varieties of tone (e.g. irony, humor, anger)</w:t>
      </w:r>
    </w:p>
    <w:p w:rsidRPr="00000000" w:rsidR="00000000" w:rsidDel="00000000" w:rsidP="00000000" w:rsidRDefault="00000000" w14:paraId="00000028">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Identifying and developing a writing voice</w:t>
      </w:r>
    </w:p>
    <w:p w:rsidRPr="00000000" w:rsidR="00000000" w:rsidDel="00000000" w:rsidP="00000000" w:rsidRDefault="00000000" w14:paraId="00000029">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Vocabulary development</w:t>
      </w:r>
    </w:p>
    <w:p w:rsidRPr="00000000" w:rsidR="00000000" w:rsidDel="00000000" w:rsidP="00000000" w:rsidRDefault="00000000" w14:paraId="0000002A">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Library resources, including resources for research</w:t>
      </w:r>
    </w:p>
    <w:p w:rsidRPr="00000000" w:rsidR="00000000" w:rsidDel="00000000" w:rsidP="00000000" w:rsidRDefault="00000000" w14:paraId="0000002B">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Writing process</w:t>
      </w:r>
    </w:p>
    <w:p w:rsidRPr="00000000" w:rsidR="00000000" w:rsidDel="00000000" w:rsidP="00000000" w:rsidRDefault="00000000" w14:paraId="0000002C">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Idea generation</w:t>
      </w:r>
    </w:p>
    <w:p w:rsidRPr="00000000" w:rsidR="00000000" w:rsidDel="00000000" w:rsidP="00000000" w:rsidRDefault="00000000" w14:paraId="0000002D">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Drafting</w:t>
      </w:r>
    </w:p>
    <w:p w:rsidRPr="00000000" w:rsidR="00000000" w:rsidDel="00000000" w:rsidP="00000000" w:rsidRDefault="00000000" w14:paraId="0000002E">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Peer review</w:t>
      </w:r>
    </w:p>
    <w:p w:rsidRPr="00000000" w:rsidR="00000000" w:rsidDel="00000000" w:rsidP="00000000" w:rsidRDefault="00000000" w14:paraId="0000002F">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Revision</w:t>
      </w:r>
    </w:p>
    <w:p w:rsidRPr="00000000" w:rsidR="00000000" w:rsidDel="00000000" w:rsidP="00000000" w:rsidRDefault="00000000" w14:paraId="00000030">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Editing</w:t>
      </w:r>
    </w:p>
    <w:p w:rsidRPr="00000000" w:rsidR="00000000" w:rsidDel="00000000" w:rsidP="00000000" w:rsidRDefault="00000000" w14:paraId="00000031">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Sentence boundaries</w:t>
      </w:r>
    </w:p>
    <w:p w:rsidRPr="00000000" w:rsidR="00000000" w:rsidDel="00000000" w:rsidP="00000000" w:rsidRDefault="00000000" w14:paraId="00000032">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Common errors (e.g. fragments, comma splices, run-on sentences)</w:t>
      </w:r>
    </w:p>
    <w:p w:rsidRPr="00000000" w:rsidR="00000000" w:rsidDel="00000000" w:rsidP="00000000" w:rsidRDefault="00000000" w14:paraId="00000033">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Common corrections</w:t>
      </w:r>
    </w:p>
    <w:p w:rsidRPr="00000000" w:rsidR="00000000" w:rsidDel="00000000" w:rsidP="00000000" w:rsidRDefault="00000000" w14:paraId="00000034">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Patterns of error typical to English language learners</w:t>
      </w:r>
    </w:p>
    <w:p w:rsidRPr="00000000" w:rsidR="00000000" w:rsidDel="00000000" w:rsidP="00000000" w:rsidRDefault="00000000" w14:paraId="00000035">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Subject-verb agreement</w:t>
      </w:r>
    </w:p>
    <w:p w:rsidRPr="00000000" w:rsidR="00000000" w:rsidDel="00000000" w:rsidP="00000000" w:rsidRDefault="00000000" w14:paraId="00000036">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Verb form</w:t>
      </w:r>
    </w:p>
    <w:p w:rsidRPr="00000000" w:rsidR="00000000" w:rsidDel="00000000" w:rsidP="00000000" w:rsidRDefault="00000000" w14:paraId="00000037">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Verb tenses</w:t>
      </w:r>
    </w:p>
    <w:p w:rsidRPr="00000000" w:rsidR="00000000" w:rsidDel="00000000" w:rsidP="00000000" w:rsidRDefault="00000000" w14:paraId="00000038">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Plural word endings</w:t>
      </w:r>
    </w:p>
    <w:p w:rsidRPr="00000000" w:rsidR="00000000" w:rsidDel="00000000" w:rsidP="00000000" w:rsidRDefault="00000000" w14:paraId="00000039">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Count vs. non-count nouns</w:t>
      </w:r>
    </w:p>
    <w:p w:rsidRPr="00000000" w:rsidR="00000000" w:rsidDel="00000000" w:rsidP="00000000" w:rsidRDefault="00000000" w14:paraId="0000003A">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Articles</w:t>
      </w:r>
    </w:p>
    <w:p w:rsidRPr="00000000" w:rsidR="00000000" w:rsidDel="00000000" w:rsidP="00000000" w:rsidRDefault="00000000" w14:paraId="0000003B">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Error analysis</w:t>
      </w:r>
    </w:p>
    <w:p w:rsidRPr="00000000" w:rsidR="00000000" w:rsidDel="00000000" w:rsidP="00000000" w:rsidRDefault="00000000" w14:paraId="0000003C">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Essay components</w:t>
      </w:r>
    </w:p>
    <w:p w:rsidRPr="00000000" w:rsidR="00000000" w:rsidDel="00000000" w:rsidP="00000000" w:rsidRDefault="00000000" w14:paraId="0000003D">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Thesis statements and topic sentences</w:t>
      </w:r>
    </w:p>
    <w:p w:rsidRPr="00000000" w:rsidR="00000000" w:rsidDel="00000000" w:rsidP="00000000" w:rsidRDefault="00000000" w14:paraId="0000003E">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Paragraph development (e.g. details, evidence)</w:t>
      </w:r>
    </w:p>
    <w:p w:rsidRPr="00000000" w:rsidR="00000000" w:rsidDel="00000000" w:rsidP="00000000" w:rsidRDefault="00000000" w14:paraId="0000003F">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Quotations</w:t>
      </w:r>
    </w:p>
    <w:p w:rsidRPr="00000000" w:rsidR="00000000" w:rsidDel="00000000" w:rsidP="00000000" w:rsidRDefault="00000000" w14:paraId="00000040">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Fluency</w:t>
      </w:r>
    </w:p>
    <w:p w:rsidRPr="00000000" w:rsidR="00000000" w:rsidDel="00000000" w:rsidP="00000000" w:rsidRDefault="00000000" w14:paraId="00000041">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Sentence variety</w:t>
      </w:r>
    </w:p>
    <w:p w:rsidRPr="00000000" w:rsidR="00000000" w:rsidDel="00000000" w:rsidP="00000000" w:rsidRDefault="00000000" w14:paraId="00000042">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Conjunctions and sentence connectors</w:t>
      </w:r>
    </w:p>
    <w:p w:rsidRPr="00000000" w:rsidR="00000000" w:rsidDel="00000000" w:rsidP="00000000" w:rsidRDefault="00000000" w14:paraId="00000043">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Transitional phrases and sentences</w:t>
      </w:r>
    </w:p>
    <w:p w:rsidRPr="00000000" w:rsidR="00000000" w:rsidDel="00000000" w:rsidP="00000000" w:rsidRDefault="00000000" w14:paraId="00000044">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Synonyms and pronouns</w:t>
      </w:r>
    </w:p>
    <w:p w:rsidRPr="00000000" w:rsidR="00000000" w:rsidDel="00000000" w:rsidP="00000000" w:rsidRDefault="00000000" w14:paraId="00000045">
      <w:pPr>
        <w:numPr>
          <w:ilvl w:val="0"/>
          <w:numId w:val="2"/>
        </w:numPr>
        <w:spacing w:before="0" w:beforeAutospacing="0" w:after="220" w:lineRule="auto"/>
        <w:ind w:left="720" w:hanging="360"/>
        <w:rPr>
          <w:sz w:val="28"/>
          <w:szCs w:val="28"/>
        </w:rPr>
      </w:pPr>
      <w:r w:rsidRPr="00000000" w:rsidDel="00000000" w:rsidR="00000000">
        <w:rPr>
          <w:sz w:val="28"/>
          <w:szCs w:val="28"/>
          <w:rtl w:val="0"/>
        </w:rPr>
        <w:t xml:space="preserve">Student services on campus</w:t>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hAnsi="Arial" w:eastAsia="Arial" w:cs="Arial"/>
        <w:sz w:val="21"/>
        <w:szCs w:val="21"/>
        <w:u w:val="none"/>
      </w:rPr>
    </w:lvl>
    <w:lvl w:ilvl="1">
      <w:start w:val="1"/>
      <w:numFmt w:val="decimal"/>
      <w:lvlText w:val="%2."/>
      <w:lvlJc w:val="left"/>
      <w:pPr>
        <w:ind w:left="1440" w:hanging="360"/>
      </w:pPr>
      <w:rPr>
        <w:rFonts w:ascii="Arial" w:hAnsi="Arial" w:eastAsia="Arial" w:cs="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rsids>
    <w:rsidRoot w:val="14A1A7DB"/>
    <w:rsid w:val="00000000"/>
    <w:rsid w:val="009EB780"/>
    <w:rsid w:val="14A1A7DB"/>
    <w:rsid w:val="45810CEE"/>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fontTable" Target="fontTable.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styles" Target="styles.xml" Id="rId5" /><Relationship Type="http://schemas.openxmlformats.org/officeDocument/2006/relationships/numbering" Target="numbering.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E612A3EAA4E34E8F7CE1E1F9203BBE" ma:contentTypeVersion="7" ma:contentTypeDescription="Create a new document." ma:contentTypeScope="" ma:versionID="7c1c0fefe27382a8c8e1b62621eb0e4d">
  <xsd:schema xmlns:xsd="http://www.w3.org/2001/XMLSchema" xmlns:xs="http://www.w3.org/2001/XMLSchema" xmlns:p="http://schemas.microsoft.com/office/2006/metadata/properties" xmlns:ns2="71902aee-aedc-409e-a342-74ce5a1a933b" targetNamespace="http://schemas.microsoft.com/office/2006/metadata/properties" ma:root="true" ma:fieldsID="c9905a693c69182ce0b80c63a2025eec" ns2:_="">
    <xsd:import namespace="71902aee-aedc-409e-a342-74ce5a1a93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902aee-aedc-409e-a342-74ce5a1a93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105F2C-2CEB-4BAA-81C4-BFC4F11DFE58}"/>
</file>

<file path=customXml/itemProps2.xml><?xml version="1.0" encoding="utf-8"?>
<ds:datastoreItem xmlns:ds="http://schemas.openxmlformats.org/officeDocument/2006/customXml" ds:itemID="{3E48AC3C-9B8E-447F-99AE-C2EFEBA88CFB}"/>
</file>

<file path=customXml/itemProps3.xml><?xml version="1.0" encoding="utf-8"?>
<ds:datastoreItem xmlns:ds="http://schemas.openxmlformats.org/officeDocument/2006/customXml" ds:itemID="{AA8EB186-A458-48B5-B296-C64746D0F6F1}"/>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0x010100B6E612A3EAA4E34E8F7CE1E1F9203BBE</vt:lpwstr>
  </property>
</Properties>
</file>