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75D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31417"/>
        <w:bidi w:val="0"/>
        <w:spacing w:before="0" w:beforeAutospacing="0" w:after="120" w:afterAutospacing="0"/>
        <w:ind w:left="0" w:right="0" w:firstLine="0"/>
        <w:jc w:val="left"/>
        <w:textAlignment w:val="baseline"/>
        <w:rPr>
          <w:rFonts w:ascii="sans-serif" w:hAnsi="sans-serif" w:eastAsia="sans-serif" w:cs="sans-serif"/>
          <w:i w:val="0"/>
          <w:iCs w:val="0"/>
          <w:caps w:val="0"/>
          <w:color w:val="FFFFFF"/>
          <w:spacing w:val="2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2"/>
          <w:sz w:val="21"/>
          <w:szCs w:val="21"/>
          <w:bdr w:val="none" w:color="auto" w:sz="0" w:space="0"/>
          <w:shd w:val="clear" w:fill="131417"/>
          <w:vertAlign w:val="baseline"/>
        </w:rPr>
        <w:t>The above studied Rules of Inferences are tabulated below:</w:t>
      </w:r>
    </w:p>
    <w:tbl>
      <w:tblPr>
        <w:tblW w:w="0" w:type="auto"/>
        <w:tblInd w:w="0" w:type="dxa"/>
        <w:tblBorders>
          <w:top w:val="single" w:color="DFDFDF" w:sz="2" w:space="0"/>
          <w:left w:val="single" w:color="DFDFDF" w:sz="2" w:space="0"/>
          <w:bottom w:val="single" w:color="DFDFDF" w:sz="2" w:space="0"/>
          <w:right w:val="single" w:color="DFDFDF" w:sz="2" w:space="0"/>
          <w:insideH w:val="none" w:color="auto" w:sz="0" w:space="0"/>
          <w:insideV w:val="none" w:color="auto" w:sz="0" w:space="0"/>
        </w:tblBorders>
        <w:shd w:val="clear" w:color="auto" w:fill="13141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40"/>
        <w:gridCol w:w="2449"/>
        <w:gridCol w:w="1672"/>
        <w:gridCol w:w="2325"/>
      </w:tblGrid>
      <w:tr w14:paraId="2FFC34AD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20" w:type="dxa"/>
              <w:left w:w="60" w:type="dxa"/>
              <w:bottom w:w="120" w:type="dxa"/>
              <w:right w:w="60" w:type="dxa"/>
            </w:tcMar>
            <w:vAlign w:val="top"/>
          </w:tcPr>
          <w:p w14:paraId="103B1B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2"/>
                <w:szCs w:val="22"/>
                <w:bdr w:val="none" w:color="auto" w:sz="0" w:space="0"/>
                <w:vertAlign w:val="baseline"/>
              </w:rPr>
              <w:t>Rule of Inference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8A1D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2"/>
                <w:szCs w:val="22"/>
                <w:bdr w:val="none" w:color="auto" w:sz="0" w:space="0"/>
                <w:vertAlign w:val="baseline"/>
              </w:rPr>
              <w:t>Form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D753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2"/>
                <w:szCs w:val="22"/>
                <w:bdr w:val="none" w:color="auto" w:sz="0" w:space="0"/>
                <w:vertAlign w:val="baseline"/>
              </w:rPr>
              <w:t>Tautology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C3AC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2"/>
                <w:szCs w:val="22"/>
                <w:bdr w:val="none" w:color="auto" w:sz="0" w:space="0"/>
                <w:vertAlign w:val="baseline"/>
              </w:rPr>
              <w:t>Description</w:t>
            </w:r>
          </w:p>
        </w:tc>
      </w:tr>
      <w:tr w14:paraId="7280F290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053931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Modus Ponens (MP)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58EA6E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 → q and p, then q.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5EA47F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p ∧ (p → q)) → ¬q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1273C7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P implies Q, and P is true, then Q is true.</w:t>
            </w:r>
          </w:p>
        </w:tc>
      </w:tr>
      <w:tr w14:paraId="5A04028A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79109E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Modus Tollens (MT)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4CAB77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 → q and ¬q, then ¬p.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737C3B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(¬q ∧ (p → q)) → ¬p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186B65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P implies Q, and Q is false, then P is false.</w:t>
            </w:r>
          </w:p>
        </w:tc>
      </w:tr>
      <w:tr w14:paraId="3C10296E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6563F7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Hypothetical Syllogism (HS)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6095E5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 → q and q → r, then p → r.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6641FC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((p → q) ∧ (q → r)) → (p → r)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1C3960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P implies Q and Q implies R, then P implies R.</w:t>
            </w:r>
          </w:p>
        </w:tc>
      </w:tr>
      <w:tr w14:paraId="449F3F76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6AB161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Disjunctive Syllogism (DS)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00F9BB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 ∨ q, and ¬p, then q.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1C1DEE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(¬p ∧ (p ∨ q)) → q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7D5932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P or Q is true, and P is false, then Q is true.</w:t>
            </w:r>
          </w:p>
        </w:tc>
      </w:tr>
      <w:tr w14:paraId="1219E1C9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43CF11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Conjunction (Conj)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5E866A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 and q, then p ∧ q.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2DF25D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(p ∧ q) → (p ∧ q) or</w:t>
            </w:r>
          </w:p>
          <w:p w14:paraId="030974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p → (q → (p ∧ q))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664384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P and Q are true, then P and Q are true.</w:t>
            </w:r>
          </w:p>
        </w:tc>
      </w:tr>
      <w:tr w14:paraId="6F3C5B7A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3A6AAA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Simplification (Simp)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4AED5D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 ∧ q, then p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63F496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(p ∧ q) → p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2D7855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P and Q are true, then P is true</w:t>
            </w:r>
          </w:p>
        </w:tc>
      </w:tr>
      <w:tr w14:paraId="31E42161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75351D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Addition (Add)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64A7A1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p, then p ∨ q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35BB86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p → (p ∨ q)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23C07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5"/>
                <w:szCs w:val="25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kern w:val="0"/>
                <w:sz w:val="20"/>
                <w:szCs w:val="20"/>
                <w:bdr w:val="none" w:color="auto" w:sz="0" w:space="0"/>
                <w:vertAlign w:val="baseline"/>
                <w:lang w:val="en-US" w:eastAsia="zh-CN" w:bidi="ar"/>
              </w:rPr>
              <w:t>If P is true, then P or Q is true.</w:t>
            </w:r>
          </w:p>
        </w:tc>
      </w:tr>
      <w:tr w14:paraId="7E7D1AAB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234346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Absorption(Abs)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44DFA6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 → q, then p → (p ∧ q)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395E9B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(p → q) → (p → (p ∧ q))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4C2393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P implies Q, then P implies P or Q is true.</w:t>
            </w:r>
          </w:p>
        </w:tc>
      </w:tr>
      <w:tr w14:paraId="328E8277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7E1F1C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Resolution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0843CC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 p ∨ q, and ¬p ∨ r, then q ∨ r.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0E6283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p ∨ q, ¬p ∨ r ⇒ q ∨ r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0DE399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P or Q is true, and not P or R is true, then Q or R is true.</w:t>
            </w:r>
          </w:p>
        </w:tc>
      </w:tr>
    </w:tbl>
    <w:p w14:paraId="7A6F9D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31417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2"/>
          <w:sz w:val="28"/>
          <w:szCs w:val="2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2"/>
          <w:sz w:val="28"/>
          <w:szCs w:val="28"/>
          <w:bdr w:val="none" w:color="auto" w:sz="0" w:space="0"/>
          <w:shd w:val="clear" w:fill="131417"/>
          <w:vertAlign w:val="baseline"/>
        </w:rPr>
        <w:t>Rules of Inference for Predicate Logic</w:t>
      </w:r>
    </w:p>
    <w:p w14:paraId="263DE3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31417"/>
        <w:bidi w:val="0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2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2"/>
          <w:sz w:val="21"/>
          <w:szCs w:val="21"/>
          <w:bdr w:val="none" w:color="auto" w:sz="0" w:space="0"/>
          <w:shd w:val="clear" w:fill="131417"/>
          <w:vertAlign w:val="baseline"/>
        </w:rPr>
        <w:t>Similarly, we have Rules of Inference for quantified statements or predicate logic, which is given in the table below.</w:t>
      </w:r>
    </w:p>
    <w:tbl>
      <w:tblPr>
        <w:tblW w:w="0" w:type="auto"/>
        <w:tblInd w:w="0" w:type="dxa"/>
        <w:tblBorders>
          <w:top w:val="single" w:color="DFDFDF" w:sz="2" w:space="0"/>
          <w:left w:val="single" w:color="DFDFDF" w:sz="2" w:space="0"/>
          <w:bottom w:val="single" w:color="DFDFDF" w:sz="2" w:space="0"/>
          <w:right w:val="single" w:color="DFDFDF" w:sz="2" w:space="0"/>
          <w:insideH w:val="none" w:color="auto" w:sz="0" w:space="0"/>
          <w:insideV w:val="none" w:color="auto" w:sz="0" w:space="0"/>
        </w:tblBorders>
        <w:shd w:val="clear" w:color="auto" w:fill="13141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60"/>
        <w:gridCol w:w="1480"/>
        <w:gridCol w:w="4646"/>
      </w:tblGrid>
      <w:tr w14:paraId="394E9CD3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20" w:type="dxa"/>
              <w:left w:w="60" w:type="dxa"/>
              <w:bottom w:w="120" w:type="dxa"/>
              <w:right w:w="60" w:type="dxa"/>
            </w:tcMar>
            <w:vAlign w:val="top"/>
          </w:tcPr>
          <w:p w14:paraId="3D3138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2"/>
                <w:szCs w:val="22"/>
                <w:bdr w:val="none" w:color="auto" w:sz="0" w:space="0"/>
                <w:vertAlign w:val="baseline"/>
              </w:rPr>
              <w:t>Rule of Inference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181C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2"/>
                <w:szCs w:val="22"/>
                <w:bdr w:val="none" w:color="auto" w:sz="0" w:space="0"/>
                <w:vertAlign w:val="baseline"/>
              </w:rPr>
              <w:t>Form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1BE2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2"/>
                <w:szCs w:val="22"/>
                <w:bdr w:val="none" w:color="auto" w:sz="0" w:space="0"/>
                <w:vertAlign w:val="baseline"/>
              </w:rPr>
              <w:t>Meaning</w:t>
            </w:r>
          </w:p>
        </w:tc>
      </w:tr>
      <w:tr w14:paraId="080C9D6C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43D7A1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Universal instantiation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1E79D1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∀xP(x) ⇒ P(c)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6FA9C3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something is true for all x, it’s true for a particular case c.</w:t>
            </w:r>
          </w:p>
        </w:tc>
      </w:tr>
      <w:tr w14:paraId="2E4A598E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38A54E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Universal generalization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0B3B71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P(c) ⇒ ∀x P(x)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199387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something is true for any arbitrary element, it’s true for all.</w:t>
            </w:r>
          </w:p>
        </w:tc>
      </w:tr>
      <w:tr w14:paraId="67D0A272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3B27CC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Existential instantiation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75F6DB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∃xP(x) ⇒ P(c)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1BDE61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something exists, we can give it a name (c).</w:t>
            </w:r>
          </w:p>
        </w:tc>
      </w:tr>
      <w:tr w14:paraId="19403EC1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131417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2A2A2C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 w14:paraId="6A0541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2"/>
                <w:sz w:val="21"/>
                <w:szCs w:val="21"/>
                <w:bdr w:val="none" w:color="auto" w:sz="0" w:space="0"/>
                <w:vertAlign w:val="baseline"/>
              </w:rPr>
              <w:t>Existential generalization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31BF2F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P(c)⇒ ∃x P(x)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131417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</w:tcPr>
          <w:p w14:paraId="3B90AC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120" w:afterAutospacing="0"/>
              <w:ind w:left="0" w:right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FFFFFF"/>
                <w:spacing w:val="2"/>
                <w:sz w:val="20"/>
                <w:szCs w:val="20"/>
                <w:bdr w:val="none" w:color="auto" w:sz="0" w:space="0"/>
                <w:vertAlign w:val="baseline"/>
              </w:rPr>
              <w:t>If something is true for a particular c, it’s true for “some x”.</w:t>
            </w:r>
          </w:p>
        </w:tc>
      </w:tr>
    </w:tbl>
    <w:p w14:paraId="122E0B0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32FEF"/>
    <w:rsid w:val="4823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2025-12-01T19:20:00Z</dcterms:created>
  <dc:creator>Ishimwe Lina</dc:creator>
  <cp:lastModifiedBy>Ishimwe Lina</cp:lastModifiedBy>
  <dcterms:modified xsi:type="dcterms:W3CDTF">2025-12-01T19:21:04Z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49F7FC5FBD2C459F87D689AE4AA72D1F_11</vt:lpwstr>
  </property>
</Properties>
</file>