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95B1" w14:textId="35D65F03" w:rsidR="00D92CB5" w:rsidRDefault="002859AB">
      <w:r>
        <w:t xml:space="preserve">Entre el UML Y el mapa conceptual pasamos de entidades a clases también de </w:t>
      </w:r>
      <w:proofErr w:type="spellStart"/>
      <w:r>
        <w:t>lamos</w:t>
      </w:r>
      <w:proofErr w:type="spellEnd"/>
      <w:r>
        <w:t xml:space="preserve"> la visibilidad en el </w:t>
      </w:r>
      <w:proofErr w:type="spellStart"/>
      <w:r>
        <w:t>uml</w:t>
      </w:r>
      <w:proofErr w:type="spellEnd"/>
      <w:r>
        <w:t xml:space="preserve"> tipo de dato y método </w:t>
      </w:r>
    </w:p>
    <w:sectPr w:rsidR="00D92C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AB"/>
    <w:rsid w:val="002859AB"/>
    <w:rsid w:val="003B2E38"/>
    <w:rsid w:val="006C1867"/>
    <w:rsid w:val="00D92CB5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99F1"/>
  <w15:chartTrackingRefBased/>
  <w15:docId w15:val="{C09F5C0D-3475-46A7-9503-E307509D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2026-08-31T18:18:00Z</dcterms:created>
  <dcterms:modified xsi:type="dcterms:W3CDTF">2026-08-31T19:59:00Z</dcterms:modified>
</cp:coreProperties>
</file>