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line="276" w:lineRule="auto"/>
        <w:jc w:val="left"/>
      </w:pPr>
    </w:p>
    <w:p>
      <w:pPr>
        <w:spacing w:after="80" w:before="0" w:line="276" w:lineRule="auto"/>
        <w:jc w:val="center"/>
      </w:pPr>
      <w:r>
        <w:rPr>
          <w:rFonts w:ascii="Calibri" w:hAnsi="Calibri" w:eastAsia="Calibri"/>
          <w:b/>
          <w:color w:val="1B6B3A"/>
          <w:sz w:val="72"/>
        </w:rPr>
        <w:t>PRS</w:t>
      </w:r>
    </w:p>
    <w:p>
      <w:pPr>
        <w:spacing w:after="360" w:before="0" w:line="276" w:lineRule="auto"/>
        <w:jc w:val="center"/>
      </w:pPr>
      <w:r>
        <w:rPr>
          <w:rFonts w:ascii="Calibri" w:hAnsi="Calibri" w:eastAsia="Calibri"/>
          <w:b/>
          <w:color w:val="0F3D22"/>
          <w:sz w:val="28"/>
        </w:rPr>
        <w:t>SALVAGE VEHICLE AUCTION PLATFORM</w:t>
      </w:r>
    </w:p>
    <w:p>
      <w:pPr>
        <w:spacing w:after="120" w:before="0" w:line="276" w:lineRule="auto"/>
        <w:jc w:val="center"/>
      </w:pPr>
      <w:r>
        <w:rPr>
          <w:rFonts w:ascii="Calibri" w:hAnsi="Calibri" w:eastAsia="Calibri"/>
          <w:b/>
          <w:color w:val="1A1A1A"/>
          <w:sz w:val="44"/>
        </w:rPr>
        <w:t>4-Phase Delivery Plan</w:t>
      </w:r>
    </w:p>
    <w:p>
      <w:pPr>
        <w:spacing w:after="560" w:before="0" w:line="276" w:lineRule="auto"/>
        <w:jc w:val="center"/>
      </w:pPr>
      <w:r>
        <w:rPr>
          <w:rFonts w:ascii="Calibri" w:hAnsi="Calibri" w:eastAsia="Calibri"/>
          <w:b/>
          <w:color w:val="1A1A1A"/>
          <w:sz w:val="44"/>
        </w:rPr>
        <w:t>&amp; Payment Schedule</w:t>
      </w:r>
    </w:p>
    <w:tbl>
      <w:tblPr>
        <w:tblW w:type="auto" w:w="0"/>
        <w:tblLook w:firstColumn="1" w:firstRow="1" w:lastColumn="0" w:lastRow="0" w:noHBand="0" w:noVBand="1" w:val="04A0"/>
      </w:tblPr>
      <w:tblGrid>
        <w:gridCol w:w="9638"/>
      </w:tblGrid>
      <w:tr>
        <w:trPr>
          <w:trHeight w:val="80" w:hRule="exact"/>
        </w:trPr>
        <w:tc>
          <w:tcPr>
            <w:tcW w:type="dxa" w:w="9638"/>
            <w:shd w:fill="1B6B3A" w:val="clear"/>
            <w:tcMar>
              <w:top w:w="60" w:type="dxa"/>
              <w:left w:w="80" w:type="dxa"/>
              <w:bottom w:w="60" w:type="dxa"/>
              <w:right w:w="80" w:type="dxa"/>
            </w:tcMar>
          </w:tcPr>
          <w:p>
            <w:pPr>
              <w:spacing w:before="0" w:after="0"/>
              <w:jc w:val="left"/>
            </w:pPr>
            <w:r>
              <w:rPr>
                <w:rFonts w:ascii="Calibri" w:hAnsi="Calibri" w:eastAsia="Calibri"/>
                <w:b w:val="0"/>
                <w:color w:val="1A1A1A"/>
                <w:sz w:val="20"/>
              </w:rPr>
            </w:r>
          </w:p>
        </w:tc>
      </w:tr>
    </w:tbl>
    <w:p>
      <w:pPr>
        <w:spacing w:after="400"/>
      </w:pPr>
    </w:p>
    <w:p>
      <w:pPr>
        <w:spacing w:after="400" w:before="0" w:line="276" w:lineRule="auto"/>
        <w:jc w:val="center"/>
      </w:pPr>
      <w:r>
        <w:rPr>
          <w:rFonts w:ascii="Calibri" w:hAnsi="Calibri" w:eastAsia="Calibri"/>
          <w:b/>
          <w:color w:val="1B6B3A"/>
          <w:sz w:val="22"/>
        </w:rPr>
        <w:t>CLIENT DELIVERY &amp; PAYMENT AGREEMENT</w:t>
      </w:r>
    </w:p>
    <w:tbl>
      <w:tblPr>
        <w:tblW w:type="auto" w:w="0"/>
        <w:jc w:val="center"/>
        <w:tblLook w:firstColumn="1" w:firstRow="1" w:lastColumn="0" w:lastRow="0" w:noHBand="0" w:noVBand="1" w:val="04A0"/>
      </w:tblPr>
      <w:tblGrid>
        <w:gridCol w:w="4819"/>
        <w:gridCol w:w="4819"/>
      </w:tblGrid>
      <w:tr>
        <w:tc>
          <w:tcPr>
            <w:tcW w:type="dxa" w:w="2835"/>
            <w:shd w:fill="E8F5EC" w:val="clear"/>
            <w:tcMar>
              <w:top w:w="60" w:type="dxa"/>
              <w:left w:w="80" w:type="dxa"/>
              <w:bottom w:w="60" w:type="dxa"/>
              <w:right w:w="80" w:type="dxa"/>
            </w:tcMar>
          </w:tcPr>
          <w:p>
            <w:pPr>
              <w:spacing w:before="80" w:after="80"/>
              <w:jc w:val="left"/>
            </w:pPr>
            <w:r>
              <w:rPr>
                <w:rFonts w:ascii="Calibri" w:hAnsi="Calibri" w:eastAsia="Calibri"/>
                <w:b/>
                <w:color w:val="0F3D22"/>
                <w:sz w:val="20"/>
              </w:rPr>
              <w:t>Project</w:t>
            </w:r>
          </w:p>
        </w:tc>
        <w:tc>
          <w:tcPr>
            <w:tcW w:type="dxa" w:w="6236"/>
            <w:shd w:fill="E8F5EC" w:val="clear"/>
            <w:tcMar>
              <w:top w:w="60" w:type="dxa"/>
              <w:left w:w="80" w:type="dxa"/>
              <w:bottom w:w="60" w:type="dxa"/>
              <w:right w:w="80" w:type="dxa"/>
            </w:tcMar>
          </w:tcPr>
          <w:p>
            <w:pPr>
              <w:spacing w:before="80" w:after="80"/>
              <w:jc w:val="left"/>
            </w:pPr>
            <w:r>
              <w:rPr>
                <w:rFonts w:ascii="Calibri" w:hAnsi="Calibri" w:eastAsia="Calibri"/>
                <w:b w:val="0"/>
                <w:color w:val="1A1A1A"/>
                <w:sz w:val="20"/>
              </w:rPr>
              <w:t>PRS — Salvage Vehicle Auction Platform</w:t>
            </w:r>
          </w:p>
        </w:tc>
      </w:tr>
      <w:tr>
        <w:tc>
          <w:tcPr>
            <w:tcW w:type="dxa" w:w="2835"/>
            <w:shd w:fill="FFFFFF" w:val="clear"/>
            <w:tcMar>
              <w:top w:w="60" w:type="dxa"/>
              <w:left w:w="80" w:type="dxa"/>
              <w:bottom w:w="60" w:type="dxa"/>
              <w:right w:w="80" w:type="dxa"/>
            </w:tcMar>
          </w:tcPr>
          <w:p>
            <w:pPr>
              <w:spacing w:before="80" w:after="80"/>
              <w:jc w:val="left"/>
            </w:pPr>
            <w:r>
              <w:rPr>
                <w:rFonts w:ascii="Calibri" w:hAnsi="Calibri" w:eastAsia="Calibri"/>
                <w:b/>
                <w:color w:val="0F3D22"/>
                <w:sz w:val="20"/>
              </w:rPr>
              <w:t>Document Type</w:t>
            </w:r>
          </w:p>
        </w:tc>
        <w:tc>
          <w:tcPr>
            <w:tcW w:type="dxa" w:w="6236"/>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4-Phase Delivery Plan &amp; Payment Schedule</w:t>
            </w:r>
          </w:p>
        </w:tc>
      </w:tr>
      <w:tr>
        <w:tc>
          <w:tcPr>
            <w:tcW w:type="dxa" w:w="2835"/>
            <w:shd w:fill="E8F5EC" w:val="clear"/>
            <w:tcMar>
              <w:top w:w="60" w:type="dxa"/>
              <w:left w:w="80" w:type="dxa"/>
              <w:bottom w:w="60" w:type="dxa"/>
              <w:right w:w="80" w:type="dxa"/>
            </w:tcMar>
          </w:tcPr>
          <w:p>
            <w:pPr>
              <w:spacing w:before="80" w:after="80"/>
              <w:jc w:val="left"/>
            </w:pPr>
            <w:r>
              <w:rPr>
                <w:rFonts w:ascii="Calibri" w:hAnsi="Calibri" w:eastAsia="Calibri"/>
                <w:b/>
                <w:color w:val="0F3D22"/>
                <w:sz w:val="20"/>
              </w:rPr>
              <w:t>Agreed Budget</w:t>
            </w:r>
          </w:p>
        </w:tc>
        <w:tc>
          <w:tcPr>
            <w:tcW w:type="dxa" w:w="6236"/>
            <w:shd w:fill="E8F5EC" w:val="clear"/>
            <w:tcMar>
              <w:top w:w="60" w:type="dxa"/>
              <w:left w:w="80" w:type="dxa"/>
              <w:bottom w:w="60" w:type="dxa"/>
              <w:right w:w="80" w:type="dxa"/>
            </w:tcMar>
          </w:tcPr>
          <w:p>
            <w:pPr>
              <w:spacing w:before="80" w:after="80"/>
              <w:jc w:val="left"/>
            </w:pPr>
            <w:r>
              <w:rPr>
                <w:rFonts w:ascii="Calibri" w:hAnsi="Calibri" w:eastAsia="Calibri"/>
                <w:b w:val="0"/>
                <w:color w:val="1A1A1A"/>
                <w:sz w:val="20"/>
              </w:rPr>
              <w:t>PKR 150,000 (Fixed)</w:t>
            </w:r>
          </w:p>
        </w:tc>
      </w:tr>
      <w:tr>
        <w:tc>
          <w:tcPr>
            <w:tcW w:type="dxa" w:w="2835"/>
            <w:shd w:fill="FFFFFF" w:val="clear"/>
            <w:tcMar>
              <w:top w:w="60" w:type="dxa"/>
              <w:left w:w="80" w:type="dxa"/>
              <w:bottom w:w="60" w:type="dxa"/>
              <w:right w:w="80" w:type="dxa"/>
            </w:tcMar>
          </w:tcPr>
          <w:p>
            <w:pPr>
              <w:spacing w:before="80" w:after="80"/>
              <w:jc w:val="left"/>
            </w:pPr>
            <w:r>
              <w:rPr>
                <w:rFonts w:ascii="Calibri" w:hAnsi="Calibri" w:eastAsia="Calibri"/>
                <w:b/>
                <w:color w:val="0F3D22"/>
                <w:sz w:val="20"/>
              </w:rPr>
              <w:t>Delivery Model</w:t>
            </w:r>
          </w:p>
        </w:tc>
        <w:tc>
          <w:tcPr>
            <w:tcW w:type="dxa" w:w="6236"/>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Phase-gated · Client approval · Payment before next phase</w:t>
            </w:r>
          </w:p>
        </w:tc>
      </w:tr>
      <w:tr>
        <w:tc>
          <w:tcPr>
            <w:tcW w:type="dxa" w:w="2835"/>
            <w:shd w:fill="E8F5EC" w:val="clear"/>
            <w:tcMar>
              <w:top w:w="60" w:type="dxa"/>
              <w:left w:w="80" w:type="dxa"/>
              <w:bottom w:w="60" w:type="dxa"/>
              <w:right w:w="80" w:type="dxa"/>
            </w:tcMar>
          </w:tcPr>
          <w:p>
            <w:pPr>
              <w:spacing w:before="80" w:after="80"/>
              <w:jc w:val="left"/>
            </w:pPr>
            <w:r>
              <w:rPr>
                <w:rFonts w:ascii="Calibri" w:hAnsi="Calibri" w:eastAsia="Calibri"/>
                <w:b/>
                <w:color w:val="0F3D22"/>
                <w:sz w:val="20"/>
              </w:rPr>
              <w:t>Estimated Timeline</w:t>
            </w:r>
          </w:p>
        </w:tc>
        <w:tc>
          <w:tcPr>
            <w:tcW w:type="dxa" w:w="6236"/>
            <w:shd w:fill="E8F5EC" w:val="clear"/>
            <w:tcMar>
              <w:top w:w="60" w:type="dxa"/>
              <w:left w:w="80" w:type="dxa"/>
              <w:bottom w:w="60" w:type="dxa"/>
              <w:right w:w="80" w:type="dxa"/>
            </w:tcMar>
          </w:tcPr>
          <w:p>
            <w:pPr>
              <w:spacing w:before="80" w:after="80"/>
              <w:jc w:val="left"/>
            </w:pPr>
            <w:r>
              <w:rPr>
                <w:rFonts w:ascii="Calibri" w:hAnsi="Calibri" w:eastAsia="Calibri"/>
                <w:b w:val="0"/>
                <w:color w:val="1A1A1A"/>
                <w:sz w:val="20"/>
              </w:rPr>
              <w:t>~25 calendar days (excluding approval wait time)</w:t>
            </w:r>
          </w:p>
        </w:tc>
      </w:tr>
      <w:tr>
        <w:tc>
          <w:tcPr>
            <w:tcW w:type="dxa" w:w="2835"/>
            <w:shd w:fill="FFFFFF" w:val="clear"/>
            <w:tcMar>
              <w:top w:w="60" w:type="dxa"/>
              <w:left w:w="80" w:type="dxa"/>
              <w:bottom w:w="60" w:type="dxa"/>
              <w:right w:w="80" w:type="dxa"/>
            </w:tcMar>
          </w:tcPr>
          <w:p>
            <w:pPr>
              <w:spacing w:before="80" w:after="80"/>
              <w:jc w:val="left"/>
            </w:pPr>
            <w:r>
              <w:rPr>
                <w:rFonts w:ascii="Calibri" w:hAnsi="Calibri" w:eastAsia="Calibri"/>
                <w:b/>
                <w:color w:val="0F3D22"/>
                <w:sz w:val="20"/>
              </w:rPr>
              <w:t>Document Date</w:t>
            </w:r>
          </w:p>
        </w:tc>
        <w:tc>
          <w:tcPr>
            <w:tcW w:type="dxa" w:w="6236"/>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July 2026</w:t>
            </w:r>
          </w:p>
        </w:tc>
      </w:tr>
      <w:tr>
        <w:tc>
          <w:tcPr>
            <w:tcW w:type="dxa" w:w="2835"/>
            <w:shd w:fill="E8F5EC" w:val="clear"/>
            <w:tcMar>
              <w:top w:w="60" w:type="dxa"/>
              <w:left w:w="80" w:type="dxa"/>
              <w:bottom w:w="60" w:type="dxa"/>
              <w:right w:w="80" w:type="dxa"/>
            </w:tcMar>
          </w:tcPr>
          <w:p>
            <w:pPr>
              <w:spacing w:before="80" w:after="80"/>
              <w:jc w:val="left"/>
            </w:pPr>
            <w:r>
              <w:rPr>
                <w:rFonts w:ascii="Calibri" w:hAnsi="Calibri" w:eastAsia="Calibri"/>
                <w:b/>
                <w:color w:val="0F3D22"/>
                <w:sz w:val="20"/>
              </w:rPr>
              <w:t>Status</w:t>
            </w:r>
          </w:p>
        </w:tc>
        <w:tc>
          <w:tcPr>
            <w:tcW w:type="dxa" w:w="6236"/>
            <w:shd w:fill="E8F5EC" w:val="clear"/>
            <w:tcMar>
              <w:top w:w="60" w:type="dxa"/>
              <w:left w:w="80" w:type="dxa"/>
              <w:bottom w:w="60" w:type="dxa"/>
              <w:right w:w="80" w:type="dxa"/>
            </w:tcMar>
          </w:tcPr>
          <w:p>
            <w:pPr>
              <w:spacing w:before="80" w:after="80"/>
              <w:jc w:val="left"/>
            </w:pPr>
            <w:r>
              <w:rPr>
                <w:rFonts w:ascii="Calibri" w:hAnsi="Calibri" w:eastAsia="Calibri"/>
                <w:b w:val="0"/>
                <w:color w:val="1A1A1A"/>
                <w:sz w:val="20"/>
              </w:rPr>
              <w:t>Confidential — For Client Review</w:t>
            </w:r>
          </w:p>
        </w:tc>
      </w:tr>
    </w:tbl>
    <w:p>
      <w:pPr>
        <w:spacing w:after="600" w:before="0" w:line="276" w:lineRule="auto"/>
        <w:jc w:val="left"/>
      </w:pPr>
    </w:p>
    <w:p>
      <w:pPr>
        <w:spacing w:after="120" w:before="0" w:line="276" w:lineRule="auto"/>
        <w:jc w:val="center"/>
      </w:pPr>
      <w:r>
        <w:rPr>
          <w:rFonts w:ascii="Calibri" w:hAnsi="Calibri" w:eastAsia="Calibri"/>
          <w:b w:val="0"/>
          <w:color w:val="4A4A4A"/>
          <w:sz w:val="18"/>
        </w:rPr>
        <w:t>Aligned to the PRS System Concept Document (July 2026) — Year-1 Pakistan MVP</w:t>
      </w:r>
    </w:p>
    <w:p>
      <w:r>
        <w:br w:type="page"/>
      </w:r>
    </w:p>
    <w:p>
      <w:pPr>
        <w:spacing w:after="160" w:before="280" w:line="276" w:lineRule="auto"/>
        <w:jc w:val="left"/>
      </w:pPr>
      <w:r>
        <w:rPr>
          <w:rFonts w:ascii="Calibri" w:hAnsi="Calibri" w:eastAsia="Calibri"/>
          <w:b/>
          <w:color w:val="1B6B3A"/>
          <w:sz w:val="28"/>
        </w:rPr>
        <w:t>1. How This Engagement Works</w:t>
      </w:r>
    </w:p>
    <w:p>
      <w:pPr>
        <w:spacing w:after="160" w:before="0" w:line="276" w:lineRule="auto"/>
        <w:jc w:val="both"/>
      </w:pPr>
      <w:r>
        <w:rPr>
          <w:rFonts w:ascii="Calibri" w:hAnsi="Calibri" w:eastAsia="Calibri"/>
          <w:b w:val="0"/>
          <w:color w:val="4A4A4A"/>
          <w:sz w:val="22"/>
        </w:rPr>
        <w:t>The project is delivered in four phases. After each phase, the client reviews the deliverables, approves in writing, and pays the phase invoice. The next phase starts only after payment is received.</w:t>
      </w:r>
    </w:p>
    <w:p>
      <w:pPr>
        <w:spacing w:after="80" w:before="0" w:line="276" w:lineRule="auto"/>
        <w:jc w:val="left"/>
      </w:pPr>
      <w:r>
        <w:rPr>
          <w:rFonts w:ascii="Calibri" w:hAnsi="Calibri" w:eastAsia="Calibri"/>
          <w:b/>
          <w:color w:val="1B6B3A"/>
          <w:sz w:val="22"/>
        </w:rPr>
        <w:t xml:space="preserve">Step 1: </w:t>
      </w:r>
      <w:r>
        <w:rPr>
          <w:rFonts w:ascii="Calibri" w:hAnsi="Calibri" w:eastAsia="Calibri"/>
          <w:b w:val="0"/>
          <w:color w:val="4A4A4A"/>
          <w:sz w:val="22"/>
        </w:rPr>
        <w:t>Developer completes the phase deliverables on a staging / demo environment.</w:t>
      </w:r>
    </w:p>
    <w:p>
      <w:pPr>
        <w:spacing w:after="80" w:before="0" w:line="276" w:lineRule="auto"/>
        <w:jc w:val="left"/>
      </w:pPr>
      <w:r>
        <w:rPr>
          <w:rFonts w:ascii="Calibri" w:hAnsi="Calibri" w:eastAsia="Calibri"/>
          <w:b/>
          <w:color w:val="1B6B3A"/>
          <w:sz w:val="22"/>
        </w:rPr>
        <w:t xml:space="preserve">Step 2: </w:t>
      </w:r>
      <w:r>
        <w:rPr>
          <w:rFonts w:ascii="Calibri" w:hAnsi="Calibri" w:eastAsia="Calibri"/>
          <w:b w:val="0"/>
          <w:color w:val="4A4A4A"/>
          <w:sz w:val="22"/>
        </w:rPr>
        <w:t>Client reviews against the phase Approval Checklist (up to 3 business days).</w:t>
      </w:r>
    </w:p>
    <w:p>
      <w:pPr>
        <w:spacing w:after="80" w:before="0" w:line="276" w:lineRule="auto"/>
        <w:jc w:val="left"/>
      </w:pPr>
      <w:r>
        <w:rPr>
          <w:rFonts w:ascii="Calibri" w:hAnsi="Calibri" w:eastAsia="Calibri"/>
          <w:b/>
          <w:color w:val="1B6B3A"/>
          <w:sz w:val="22"/>
        </w:rPr>
        <w:t xml:space="preserve">Step 3: </w:t>
      </w:r>
      <w:r>
        <w:rPr>
          <w:rFonts w:ascii="Calibri" w:hAnsi="Calibri" w:eastAsia="Calibri"/>
          <w:b w:val="0"/>
          <w:color w:val="4A4A4A"/>
          <w:sz w:val="22"/>
        </w:rPr>
        <w:t>Client sends written approval (email or WhatsApp is acceptable).</w:t>
      </w:r>
    </w:p>
    <w:p>
      <w:pPr>
        <w:spacing w:after="80" w:before="0" w:line="276" w:lineRule="auto"/>
        <w:jc w:val="left"/>
      </w:pPr>
      <w:r>
        <w:rPr>
          <w:rFonts w:ascii="Calibri" w:hAnsi="Calibri" w:eastAsia="Calibri"/>
          <w:b/>
          <w:color w:val="1B6B3A"/>
          <w:sz w:val="22"/>
        </w:rPr>
        <w:t xml:space="preserve">Step 4: </w:t>
      </w:r>
      <w:r>
        <w:rPr>
          <w:rFonts w:ascii="Calibri" w:hAnsi="Calibri" w:eastAsia="Calibri"/>
          <w:b w:val="0"/>
          <w:color w:val="4A4A4A"/>
          <w:sz w:val="22"/>
        </w:rPr>
        <w:t>Client pays the phase amount as per the schedule below.</w:t>
      </w:r>
    </w:p>
    <w:p>
      <w:pPr>
        <w:spacing w:after="80" w:before="0" w:line="276" w:lineRule="auto"/>
        <w:jc w:val="left"/>
      </w:pPr>
      <w:r>
        <w:rPr>
          <w:rFonts w:ascii="Calibri" w:hAnsi="Calibri" w:eastAsia="Calibri"/>
          <w:b/>
          <w:color w:val="1B6B3A"/>
          <w:sz w:val="22"/>
        </w:rPr>
        <w:t xml:space="preserve">Step 5: </w:t>
      </w:r>
      <w:r>
        <w:rPr>
          <w:rFonts w:ascii="Calibri" w:hAnsi="Calibri" w:eastAsia="Calibri"/>
          <w:b w:val="0"/>
          <w:color w:val="4A4A4A"/>
          <w:sz w:val="22"/>
        </w:rPr>
        <w:t>Next phase begins only after payment clears.</w:t>
      </w:r>
    </w:p>
    <w:p>
      <w:pPr>
        <w:spacing w:after="160" w:before="0" w:line="276" w:lineRule="auto"/>
        <w:jc w:val="both"/>
      </w:pPr>
      <w:r>
        <w:rPr>
          <w:rFonts w:ascii="Calibri" w:hAnsi="Calibri" w:eastAsia="Calibri"/>
          <w:b w:val="0"/>
          <w:color w:val="4A4A4A"/>
          <w:sz w:val="22"/>
        </w:rPr>
        <w:t>Important: Days spent waiting for client review or payment do not count against the delivery timeline. Unapproved or unpaid phases pause the schedule.</w:t>
      </w:r>
    </w:p>
    <w:p>
      <w:pPr>
        <w:spacing w:after="160" w:before="280" w:line="276" w:lineRule="auto"/>
        <w:jc w:val="left"/>
      </w:pPr>
      <w:r>
        <w:rPr>
          <w:rFonts w:ascii="Calibri" w:hAnsi="Calibri" w:eastAsia="Calibri"/>
          <w:b/>
          <w:color w:val="1B6B3A"/>
          <w:sz w:val="28"/>
        </w:rPr>
        <w:t>2. Payment Summary — PKR 150,000</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134"/>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Phase</w:t>
            </w:r>
          </w:p>
        </w:tc>
        <w:tc>
          <w:tcPr>
            <w:tcW w:type="dxa" w:w="3685"/>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Name</w:t>
            </w:r>
          </w:p>
        </w:tc>
        <w:tc>
          <w:tcPr>
            <w:tcW w:type="dxa" w:w="1814"/>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Payment (PKR)</w:t>
            </w:r>
          </w:p>
        </w:tc>
        <w:tc>
          <w:tcPr>
            <w:tcW w:type="dxa" w:w="1134"/>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w:t>
            </w:r>
          </w:p>
        </w:tc>
        <w:tc>
          <w:tcPr>
            <w:tcW w:type="dxa" w:w="1984"/>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Approx. Days</w:t>
            </w:r>
          </w:p>
        </w:tc>
      </w:tr>
      <w:tr>
        <w:tc>
          <w:tcPr>
            <w:tcW w:type="dxa" w:w="1134"/>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1</w:t>
            </w:r>
          </w:p>
        </w:tc>
        <w:tc>
          <w:tcPr>
            <w:tcW w:type="dxa" w:w="3685"/>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Foundation &amp; Access</w:t>
            </w:r>
          </w:p>
        </w:tc>
        <w:tc>
          <w:tcPr>
            <w:tcW w:type="dxa" w:w="1814"/>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40,000</w:t>
            </w:r>
          </w:p>
        </w:tc>
        <w:tc>
          <w:tcPr>
            <w:tcW w:type="dxa" w:w="1134"/>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27%</w:t>
            </w:r>
          </w:p>
        </w:tc>
        <w:tc>
          <w:tcPr>
            <w:tcW w:type="dxa" w:w="1984"/>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Days 1–6</w:t>
            </w:r>
          </w:p>
        </w:tc>
      </w:tr>
      <w:tr>
        <w:tc>
          <w:tcPr>
            <w:tcW w:type="dxa" w:w="1134"/>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2</w:t>
            </w:r>
          </w:p>
        </w:tc>
        <w:tc>
          <w:tcPr>
            <w:tcW w:type="dxa" w:w="3685"/>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Listings &amp; Folders</w:t>
            </w:r>
          </w:p>
        </w:tc>
        <w:tc>
          <w:tcPr>
            <w:tcW w:type="dxa" w:w="1814"/>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40,000</w:t>
            </w:r>
          </w:p>
        </w:tc>
        <w:tc>
          <w:tcPr>
            <w:tcW w:type="dxa" w:w="1134"/>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27%</w:t>
            </w:r>
          </w:p>
        </w:tc>
        <w:tc>
          <w:tcPr>
            <w:tcW w:type="dxa" w:w="1984"/>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Days 7–13</w:t>
            </w:r>
          </w:p>
        </w:tc>
      </w:tr>
      <w:tr>
        <w:tc>
          <w:tcPr>
            <w:tcW w:type="dxa" w:w="1134"/>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3</w:t>
            </w:r>
          </w:p>
        </w:tc>
        <w:tc>
          <w:tcPr>
            <w:tcW w:type="dxa" w:w="3685"/>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Auctions, Bids &amp; Controls</w:t>
            </w:r>
          </w:p>
        </w:tc>
        <w:tc>
          <w:tcPr>
            <w:tcW w:type="dxa" w:w="1814"/>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40,000</w:t>
            </w:r>
          </w:p>
        </w:tc>
        <w:tc>
          <w:tcPr>
            <w:tcW w:type="dxa" w:w="1134"/>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27%</w:t>
            </w:r>
          </w:p>
        </w:tc>
        <w:tc>
          <w:tcPr>
            <w:tcW w:type="dxa" w:w="1984"/>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Days 14–20</w:t>
            </w:r>
          </w:p>
        </w:tc>
      </w:tr>
      <w:tr>
        <w:tc>
          <w:tcPr>
            <w:tcW w:type="dxa" w:w="1134"/>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4</w:t>
            </w:r>
          </w:p>
        </w:tc>
        <w:tc>
          <w:tcPr>
            <w:tcW w:type="dxa" w:w="3685"/>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Notifications, Polish &amp; Go-Live</w:t>
            </w:r>
          </w:p>
        </w:tc>
        <w:tc>
          <w:tcPr>
            <w:tcW w:type="dxa" w:w="1814"/>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30,000</w:t>
            </w:r>
          </w:p>
        </w:tc>
        <w:tc>
          <w:tcPr>
            <w:tcW w:type="dxa" w:w="1134"/>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20%</w:t>
            </w:r>
          </w:p>
        </w:tc>
        <w:tc>
          <w:tcPr>
            <w:tcW w:type="dxa" w:w="1984"/>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Days 21–25</w:t>
            </w:r>
          </w:p>
        </w:tc>
      </w:tr>
      <w:tr>
        <w:tc>
          <w:tcPr>
            <w:tcW w:type="dxa" w:w="1134"/>
            <w:shd w:fill="F3FAF5" w:val="clear"/>
            <w:tcMar>
              <w:top w:w="60" w:type="dxa"/>
              <w:left w:w="80" w:type="dxa"/>
              <w:bottom w:w="60" w:type="dxa"/>
              <w:right w:w="80" w:type="dxa"/>
            </w:tcMar>
          </w:tcPr>
          <w:p>
            <w:pPr>
              <w:spacing w:before="80" w:after="80"/>
              <w:jc w:val="left"/>
            </w:pPr>
            <w:r>
              <w:rPr>
                <w:rFonts w:ascii="Calibri" w:hAnsi="Calibri" w:eastAsia="Calibri"/>
                <w:b/>
                <w:color w:val="1A1A1A"/>
                <w:sz w:val="20"/>
              </w:rPr>
              <w:t>Total</w:t>
            </w:r>
          </w:p>
        </w:tc>
        <w:tc>
          <w:tcPr>
            <w:tcW w:type="dxa" w:w="3685"/>
            <w:shd w:fill="F3FAF5" w:val="clear"/>
            <w:tcMar>
              <w:top w:w="60" w:type="dxa"/>
              <w:left w:w="80" w:type="dxa"/>
              <w:bottom w:w="60" w:type="dxa"/>
              <w:right w:w="80" w:type="dxa"/>
            </w:tcMar>
          </w:tcPr>
          <w:p>
            <w:pPr>
              <w:spacing w:before="80" w:after="80"/>
              <w:jc w:val="center"/>
            </w:pPr>
            <w:r>
              <w:rPr>
                <w:rFonts w:ascii="Calibri" w:hAnsi="Calibri" w:eastAsia="Calibri"/>
                <w:b/>
                <w:color w:val="1A1A1A"/>
                <w:sz w:val="20"/>
              </w:rPr>
              <w:t>Full MVP Delivery</w:t>
            </w:r>
          </w:p>
        </w:tc>
        <w:tc>
          <w:tcPr>
            <w:tcW w:type="dxa" w:w="1814"/>
            <w:shd w:fill="F3FAF5" w:val="clear"/>
            <w:tcMar>
              <w:top w:w="60" w:type="dxa"/>
              <w:left w:w="80" w:type="dxa"/>
              <w:bottom w:w="60" w:type="dxa"/>
              <w:right w:w="80" w:type="dxa"/>
            </w:tcMar>
          </w:tcPr>
          <w:p>
            <w:pPr>
              <w:spacing w:before="80" w:after="80"/>
              <w:jc w:val="center"/>
            </w:pPr>
            <w:r>
              <w:rPr>
                <w:rFonts w:ascii="Calibri" w:hAnsi="Calibri" w:eastAsia="Calibri"/>
                <w:b/>
                <w:color w:val="1A1A1A"/>
                <w:sz w:val="20"/>
              </w:rPr>
              <w:t>150,000</w:t>
            </w:r>
          </w:p>
        </w:tc>
        <w:tc>
          <w:tcPr>
            <w:tcW w:type="dxa" w:w="1134"/>
            <w:shd w:fill="F3FAF5" w:val="clear"/>
            <w:tcMar>
              <w:top w:w="60" w:type="dxa"/>
              <w:left w:w="80" w:type="dxa"/>
              <w:bottom w:w="60" w:type="dxa"/>
              <w:right w:w="80" w:type="dxa"/>
            </w:tcMar>
          </w:tcPr>
          <w:p>
            <w:pPr>
              <w:spacing w:before="80" w:after="80"/>
              <w:jc w:val="center"/>
            </w:pPr>
            <w:r>
              <w:rPr>
                <w:rFonts w:ascii="Calibri" w:hAnsi="Calibri" w:eastAsia="Calibri"/>
                <w:b/>
                <w:color w:val="1A1A1A"/>
                <w:sz w:val="20"/>
              </w:rPr>
              <w:t>100%</w:t>
            </w:r>
          </w:p>
        </w:tc>
        <w:tc>
          <w:tcPr>
            <w:tcW w:type="dxa" w:w="1984"/>
            <w:shd w:fill="F3FAF5" w:val="clear"/>
            <w:tcMar>
              <w:top w:w="60" w:type="dxa"/>
              <w:left w:w="80" w:type="dxa"/>
              <w:bottom w:w="60" w:type="dxa"/>
              <w:right w:w="80" w:type="dxa"/>
            </w:tcMar>
          </w:tcPr>
          <w:p>
            <w:pPr>
              <w:spacing w:before="80" w:after="80"/>
              <w:jc w:val="center"/>
            </w:pPr>
            <w:r>
              <w:rPr>
                <w:rFonts w:ascii="Calibri" w:hAnsi="Calibri" w:eastAsia="Calibri"/>
                <w:b/>
                <w:color w:val="1A1A1A"/>
                <w:sz w:val="20"/>
              </w:rPr>
              <w:t>~25 days</w:t>
            </w:r>
          </w:p>
        </w:tc>
      </w:tr>
    </w:tbl>
    <w:p>
      <w:pPr>
        <w:spacing w:after="160"/>
      </w:pPr>
    </w:p>
    <w:p>
      <w:pPr>
        <w:spacing w:after="160" w:before="0" w:line="276" w:lineRule="auto"/>
        <w:jc w:val="both"/>
      </w:pPr>
      <w:r>
        <w:rPr>
          <w:rFonts w:ascii="Calibri" w:hAnsi="Calibri" w:eastAsia="Calibri"/>
          <w:b w:val="0"/>
          <w:color w:val="4A4A4A"/>
          <w:sz w:val="22"/>
        </w:rPr>
        <w:t>Payment method: Bank transfer (details provided on each phase invoice). Invoice is issued when the phase is ready for review and due upon approval (or within 2 business days of approval).</w:t>
      </w:r>
    </w:p>
    <w:p>
      <w:pPr>
        <w:spacing w:after="160" w:before="280" w:line="276" w:lineRule="auto"/>
        <w:jc w:val="left"/>
      </w:pPr>
      <w:r>
        <w:rPr>
          <w:rFonts w:ascii="Calibri" w:hAnsi="Calibri" w:eastAsia="Calibri"/>
          <w:b/>
          <w:color w:val="1B6B3A"/>
          <w:sz w:val="28"/>
        </w:rPr>
        <w:t>3. Items to Confirm Before Kickoff</w:t>
      </w:r>
    </w:p>
    <w:p>
      <w:pPr>
        <w:spacing w:after="160" w:before="0" w:line="276" w:lineRule="auto"/>
        <w:jc w:val="both"/>
      </w:pPr>
      <w:r>
        <w:rPr>
          <w:rFonts w:ascii="Calibri" w:hAnsi="Calibri" w:eastAsia="Calibri"/>
          <w:b w:val="0"/>
          <w:color w:val="4A4A4A"/>
          <w:sz w:val="22"/>
        </w:rPr>
        <w:t>Please confirm the following before Phase 1 begins. If no reply within 3 days of kickoff, the defaults below will be used.</w:t>
      </w:r>
    </w:p>
    <w:tbl>
      <w:tblPr>
        <w:tblW w:type="auto" w:w="0"/>
        <w:jc w:val="center"/>
        <w:tblLayout w:type="autofit"/>
        <w:tblLook w:firstColumn="1" w:firstRow="1" w:lastColumn="0" w:lastRow="0" w:noHBand="0" w:noVBand="1" w:val="04A0"/>
      </w:tblPr>
      <w:tblGrid>
        <w:gridCol w:w="4819"/>
        <w:gridCol w:w="4819"/>
      </w:tblGrid>
      <w:tr>
        <w:tc>
          <w:tcPr>
            <w:tcW w:type="dxa" w:w="3402"/>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Item</w:t>
            </w:r>
          </w:p>
        </w:tc>
        <w:tc>
          <w:tcPr>
            <w:tcW w:type="dxa" w:w="6236"/>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Default if Not Confirmed</w:t>
            </w:r>
          </w:p>
        </w:tc>
      </w:tr>
      <w:tr>
        <w:tc>
          <w:tcPr>
            <w:tcW w:type="dxa" w:w="3402"/>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Auction length</w:t>
            </w:r>
          </w:p>
        </w:tc>
        <w:tc>
          <w:tcPr>
            <w:tcW w:type="dxa" w:w="6236"/>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Seller sets end date/time when publishing</w:t>
            </w:r>
          </w:p>
        </w:tc>
      </w:tr>
      <w:tr>
        <w:tc>
          <w:tcPr>
            <w:tcW w:type="dxa" w:w="3402"/>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Platform fee % (seller)</w:t>
            </w:r>
          </w:p>
        </w:tc>
        <w:tc>
          <w:tcPr>
            <w:tcW w:type="dxa" w:w="6236"/>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2% of final sale (admin-configurable later)</w:t>
            </w:r>
          </w:p>
        </w:tc>
      </w:tr>
      <w:tr>
        <w:tc>
          <w:tcPr>
            <w:tcW w:type="dxa" w:w="3402"/>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Platform fee % (buyer)</w:t>
            </w:r>
          </w:p>
        </w:tc>
        <w:tc>
          <w:tcPr>
            <w:tcW w:type="dxa" w:w="6236"/>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2% of final sale (admin-configurable later)</w:t>
            </w:r>
          </w:p>
        </w:tc>
      </w:tr>
      <w:tr>
        <w:tc>
          <w:tcPr>
            <w:tcW w:type="dxa" w:w="3402"/>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Non-payment fine (unblock)</w:t>
            </w:r>
          </w:p>
        </w:tc>
        <w:tc>
          <w:tcPr>
            <w:tcW w:type="dxa" w:w="6236"/>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PKR 5,000 flat — admin confirms bank receipt</w:t>
            </w:r>
          </w:p>
        </w:tc>
      </w:tr>
      <w:tr>
        <w:tc>
          <w:tcPr>
            <w:tcW w:type="dxa" w:w="3402"/>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Payment window after win</w:t>
            </w:r>
          </w:p>
        </w:tc>
        <w:tc>
          <w:tcPr>
            <w:tcW w:type="dxa" w:w="6236"/>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7 days (seller can extend)</w:t>
            </w:r>
          </w:p>
        </w:tc>
      </w:tr>
      <w:tr>
        <w:tc>
          <w:tcPr>
            <w:tcW w:type="dxa" w:w="3402"/>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Brand assets</w:t>
            </w:r>
          </w:p>
        </w:tc>
        <w:tc>
          <w:tcPr>
            <w:tcW w:type="dxa" w:w="6236"/>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Text “PRS” + green/white theme until logo provided</w:t>
            </w:r>
          </w:p>
        </w:tc>
      </w:tr>
    </w:tbl>
    <w:p>
      <w:pPr>
        <w:spacing w:after="160"/>
      </w:pPr>
    </w:p>
    <w:p>
      <w:pPr>
        <w:spacing w:after="120" w:before="200" w:line="276" w:lineRule="auto"/>
        <w:jc w:val="left"/>
      </w:pPr>
      <w:r>
        <w:rPr>
          <w:rFonts w:ascii="Calibri" w:hAnsi="Calibri" w:eastAsia="Calibri"/>
          <w:b/>
          <w:color w:val="0F3D22"/>
          <w:sz w:val="24"/>
        </w:rPr>
        <w:t>Not Included in PKR 150,000</w:t>
      </w:r>
    </w:p>
    <w:p>
      <w:pPr>
        <w:spacing w:after="160" w:before="0" w:line="276" w:lineRule="auto"/>
        <w:jc w:val="both"/>
      </w:pPr>
      <w:r>
        <w:rPr>
          <w:rFonts w:ascii="Calibri" w:hAnsi="Calibri" w:eastAsia="Calibri"/>
          <w:b w:val="0"/>
          <w:color w:val="4A4A4A"/>
          <w:sz w:val="22"/>
        </w:rPr>
        <w:t>JazzCash / card payment gateways · Native Android/iOS apps · AI valuation · Blockchain · Multi-country localization · Advanced analytics dashboards · Live WebSocket bidding · Company “follow” alerts. These can be quoted separately as Phase 5+.</w:t>
      </w:r>
    </w:p>
    <w:p>
      <w:r>
        <w:br w:type="page"/>
      </w:r>
    </w:p>
    <w:p>
      <w:pPr>
        <w:spacing w:after="160" w:before="280" w:line="276" w:lineRule="auto"/>
        <w:jc w:val="left"/>
      </w:pPr>
      <w:r>
        <w:rPr>
          <w:rFonts w:ascii="Calibri" w:hAnsi="Calibri" w:eastAsia="Calibri"/>
          <w:b/>
          <w:color w:val="1B6B3A"/>
          <w:sz w:val="28"/>
        </w:rPr>
        <w:t>4. Phase 1 — Foundation &amp; Access</w:t>
      </w:r>
    </w:p>
    <w:tbl>
      <w:tblPr>
        <w:tblW w:type="auto" w:w="0"/>
        <w:jc w:val="center"/>
        <w:tblLayout w:type="autofit"/>
        <w:tblLook w:firstColumn="1" w:firstRow="1" w:lastColumn="0" w:lastRow="0" w:noHBand="0" w:noVBand="1" w:val="04A0"/>
      </w:tblPr>
      <w:tblGrid>
        <w:gridCol w:w="3213"/>
        <w:gridCol w:w="3213"/>
        <w:gridCol w:w="3213"/>
      </w:tblGrid>
      <w:tr>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Payment on Approval</w:t>
            </w:r>
          </w:p>
        </w:tc>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Duration</w:t>
            </w:r>
          </w:p>
        </w:tc>
        <w:tc>
          <w:tcPr>
            <w:tcW w:type="dxa" w:w="3402"/>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Starts When</w:t>
            </w:r>
          </w:p>
        </w:tc>
      </w:tr>
      <w:tr>
        <w:tc>
          <w:tcPr>
            <w:tcW w:type="dxa" w:w="3118"/>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PKR 40,000</w:t>
            </w:r>
          </w:p>
        </w:tc>
        <w:tc>
          <w:tcPr>
            <w:tcW w:type="dxa" w:w="3118"/>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~6 days</w:t>
            </w:r>
          </w:p>
        </w:tc>
        <w:tc>
          <w:tcPr>
            <w:tcW w:type="dxa" w:w="3402"/>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Project kickoff</w:t>
            </w:r>
          </w:p>
        </w:tc>
      </w:tr>
    </w:tbl>
    <w:p>
      <w:pPr>
        <w:spacing w:after="160"/>
      </w:pPr>
    </w:p>
    <w:p>
      <w:pPr>
        <w:spacing w:after="120" w:before="200" w:line="276" w:lineRule="auto"/>
        <w:jc w:val="left"/>
      </w:pPr>
      <w:r>
        <w:rPr>
          <w:rFonts w:ascii="Calibri" w:hAnsi="Calibri" w:eastAsia="Calibri"/>
          <w:b/>
          <w:color w:val="0F3D22"/>
          <w:sz w:val="24"/>
        </w:rPr>
        <w:t>Goal</w:t>
      </w:r>
    </w:p>
    <w:p>
      <w:pPr>
        <w:spacing w:after="160" w:before="0" w:line="276" w:lineRule="auto"/>
        <w:jc w:val="both"/>
      </w:pPr>
      <w:r>
        <w:rPr>
          <w:rFonts w:ascii="Calibri" w:hAnsi="Calibri" w:eastAsia="Calibri"/>
          <w:b w:val="0"/>
          <w:color w:val="4A4A4A"/>
          <w:sz w:val="22"/>
        </w:rPr>
        <w:t>Public face of PRS, secure registration/login for all roles, and admin ability to approve users.</w:t>
      </w:r>
    </w:p>
    <w:p>
      <w:pPr>
        <w:spacing w:after="120" w:before="200" w:line="276" w:lineRule="auto"/>
        <w:jc w:val="left"/>
      </w:pPr>
      <w:r>
        <w:rPr>
          <w:rFonts w:ascii="Calibri" w:hAnsi="Calibri" w:eastAsia="Calibri"/>
          <w:b/>
          <w:color w:val="0F3D22"/>
          <w:sz w:val="24"/>
        </w:rPr>
        <w:t>Deliverables</w:t>
      </w:r>
    </w:p>
    <w:p>
      <w:pPr>
        <w:pStyle w:val="ListBullet"/>
        <w:spacing w:after="60"/>
        <w:ind w:left="283"/>
      </w:pPr>
      <w:r>
        <w:rPr>
          <w:rFonts w:ascii="Calibri" w:hAnsi="Calibri" w:eastAsia="Calibri"/>
          <w:b w:val="0"/>
          <w:color w:val="4A4A4A"/>
          <w:sz w:val="21"/>
        </w:rPr>
        <w:t>Landing page (green &amp; white): platform intro, Sign Up / Login, role selection</w:t>
      </w:r>
    </w:p>
    <w:p>
      <w:pPr>
        <w:pStyle w:val="ListBullet"/>
        <w:spacing w:after="60"/>
        <w:ind w:left="283"/>
      </w:pPr>
      <w:r>
        <w:rPr>
          <w:rFonts w:ascii="Calibri" w:hAnsi="Calibri" w:eastAsia="Calibri"/>
          <w:b w:val="0"/>
          <w:color w:val="4A4A4A"/>
          <w:sz w:val="21"/>
        </w:rPr>
        <w:t>Registration — Insurance Company (name, phone, email, NTN/tax, location, password, policy accept)</w:t>
      </w:r>
    </w:p>
    <w:p>
      <w:pPr>
        <w:pStyle w:val="ListBullet"/>
        <w:spacing w:after="60"/>
        <w:ind w:left="283"/>
      </w:pPr>
      <w:r>
        <w:rPr>
          <w:rFonts w:ascii="Calibri" w:hAnsi="Calibri" w:eastAsia="Calibri"/>
          <w:b w:val="0"/>
          <w:color w:val="4A4A4A"/>
          <w:sz w:val="21"/>
        </w:rPr>
        <w:t>Registration — Salvage Dealer (name/company, tax/ID, phone optional, email, password, policy accept)</w:t>
      </w:r>
    </w:p>
    <w:p>
      <w:pPr>
        <w:pStyle w:val="ListBullet"/>
        <w:spacing w:after="60"/>
        <w:ind w:left="283"/>
      </w:pPr>
      <w:r>
        <w:rPr>
          <w:rFonts w:ascii="Calibri" w:hAnsi="Calibri" w:eastAsia="Calibri"/>
          <w:b w:val="0"/>
          <w:color w:val="4A4A4A"/>
          <w:sz w:val="21"/>
        </w:rPr>
        <w:t>Registration — Private Seller (personal details, contact, email, password, policy accept)</w:t>
      </w:r>
    </w:p>
    <w:p>
      <w:pPr>
        <w:pStyle w:val="ListBullet"/>
        <w:spacing w:after="60"/>
        <w:ind w:left="283"/>
      </w:pPr>
      <w:r>
        <w:rPr>
          <w:rFonts w:ascii="Calibri" w:hAnsi="Calibri" w:eastAsia="Calibri"/>
          <w:b w:val="0"/>
          <w:color w:val="4A4A4A"/>
          <w:sz w:val="21"/>
        </w:rPr>
        <w:t>Login / logout / secure sessions</w:t>
      </w:r>
    </w:p>
    <w:p>
      <w:pPr>
        <w:pStyle w:val="ListBullet"/>
        <w:spacing w:after="60"/>
        <w:ind w:left="283"/>
      </w:pPr>
      <w:r>
        <w:rPr>
          <w:rFonts w:ascii="Calibri" w:hAnsi="Calibri" w:eastAsia="Calibri"/>
          <w:b w:val="0"/>
          <w:color w:val="4A4A4A"/>
          <w:sz w:val="21"/>
        </w:rPr>
        <w:t>User status workflow: Pending → Approved / Suspended</w:t>
      </w:r>
    </w:p>
    <w:p>
      <w:pPr>
        <w:pStyle w:val="ListBullet"/>
        <w:spacing w:after="60"/>
        <w:ind w:left="283"/>
      </w:pPr>
      <w:r>
        <w:rPr>
          <w:rFonts w:ascii="Calibri" w:hAnsi="Calibri" w:eastAsia="Calibri"/>
          <w:b w:val="0"/>
          <w:color w:val="4A4A4A"/>
          <w:sz w:val="21"/>
        </w:rPr>
        <w:t>Admin panel (basic): list users, approve, suspend</w:t>
      </w:r>
    </w:p>
    <w:p>
      <w:pPr>
        <w:pStyle w:val="ListBullet"/>
        <w:spacing w:after="60"/>
        <w:ind w:left="283"/>
      </w:pPr>
      <w:r>
        <w:rPr>
          <w:rFonts w:ascii="Calibri" w:hAnsi="Calibri" w:eastAsia="Calibri"/>
          <w:b w:val="0"/>
          <w:color w:val="4A4A4A"/>
          <w:sz w:val="21"/>
        </w:rPr>
        <w:t>Responsive layout shell (mobile + desktop)</w:t>
      </w:r>
    </w:p>
    <w:p>
      <w:pPr>
        <w:pStyle w:val="ListBullet"/>
        <w:spacing w:after="60"/>
        <w:ind w:left="283"/>
      </w:pPr>
      <w:r>
        <w:rPr>
          <w:rFonts w:ascii="Calibri" w:hAnsi="Calibri" w:eastAsia="Calibri"/>
          <w:b w:val="0"/>
          <w:color w:val="4A4A4A"/>
          <w:sz w:val="21"/>
        </w:rPr>
        <w:t>Staging URL for client review</w:t>
      </w:r>
    </w:p>
    <w:p>
      <w:pPr>
        <w:spacing w:after="120" w:before="200" w:line="276" w:lineRule="auto"/>
        <w:jc w:val="left"/>
      </w:pPr>
      <w:r>
        <w:rPr>
          <w:rFonts w:ascii="Calibri" w:hAnsi="Calibri" w:eastAsia="Calibri"/>
          <w:b/>
          <w:color w:val="0F3D22"/>
          <w:sz w:val="24"/>
        </w:rPr>
        <w:t>Demo Walkthrough</w:t>
      </w:r>
    </w:p>
    <w:p>
      <w:pPr>
        <w:pStyle w:val="ListBullet"/>
        <w:spacing w:after="60"/>
        <w:ind w:left="283"/>
      </w:pPr>
      <w:r>
        <w:rPr>
          <w:rFonts w:ascii="Calibri" w:hAnsi="Calibri" w:eastAsia="Calibri"/>
          <w:b w:val="0"/>
          <w:color w:val="4A4A4A"/>
          <w:sz w:val="21"/>
        </w:rPr>
        <w:t>Open landing → sign up as each of the three roles</w:t>
      </w:r>
    </w:p>
    <w:p>
      <w:pPr>
        <w:pStyle w:val="ListBullet"/>
        <w:spacing w:after="60"/>
        <w:ind w:left="283"/>
      </w:pPr>
      <w:r>
        <w:rPr>
          <w:rFonts w:ascii="Calibri" w:hAnsi="Calibri" w:eastAsia="Calibri"/>
          <w:b w:val="0"/>
          <w:color w:val="4A4A4A"/>
          <w:sz w:val="21"/>
        </w:rPr>
        <w:t>Admin logs in → approves each user</w:t>
      </w:r>
    </w:p>
    <w:p>
      <w:pPr>
        <w:pStyle w:val="ListBullet"/>
        <w:spacing w:after="60"/>
        <w:ind w:left="283"/>
      </w:pPr>
      <w:r>
        <w:rPr>
          <w:rFonts w:ascii="Calibri" w:hAnsi="Calibri" w:eastAsia="Calibri"/>
          <w:b w:val="0"/>
          <w:color w:val="4A4A4A"/>
          <w:sz w:val="21"/>
        </w:rPr>
        <w:t>Approved users can log in; pending users cannot use the app</w:t>
      </w:r>
    </w:p>
    <w:p>
      <w:pPr>
        <w:spacing w:after="120" w:before="200" w:line="276" w:lineRule="auto"/>
        <w:jc w:val="left"/>
      </w:pPr>
      <w:r>
        <w:rPr>
          <w:rFonts w:ascii="Calibri" w:hAnsi="Calibri" w:eastAsia="Calibri"/>
          <w:b/>
          <w:color w:val="0F3D22"/>
          <w:sz w:val="24"/>
        </w:rPr>
        <w:t>Client Approval Checklist</w:t>
      </w:r>
    </w:p>
    <w:p>
      <w:pPr>
        <w:pStyle w:val="ListBullet"/>
        <w:spacing w:after="60"/>
        <w:ind w:left="283"/>
      </w:pPr>
      <w:r>
        <w:rPr>
          <w:rFonts w:ascii="Calibri" w:hAnsi="Calibri" w:eastAsia="Calibri"/>
          <w:b w:val="0"/>
          <w:color w:val="4A4A4A"/>
          <w:sz w:val="21"/>
        </w:rPr>
        <w:t>☐  Landing looks professional enough to proceed</w:t>
      </w:r>
    </w:p>
    <w:p>
      <w:pPr>
        <w:pStyle w:val="ListBullet"/>
        <w:spacing w:after="60"/>
        <w:ind w:left="283"/>
      </w:pPr>
      <w:r>
        <w:rPr>
          <w:rFonts w:ascii="Calibri" w:hAnsi="Calibri" w:eastAsia="Calibri"/>
          <w:b w:val="0"/>
          <w:color w:val="4A4A4A"/>
          <w:sz w:val="21"/>
        </w:rPr>
        <w:t>☐  All three registration forms work</w:t>
      </w:r>
    </w:p>
    <w:p>
      <w:pPr>
        <w:pStyle w:val="ListBullet"/>
        <w:spacing w:after="60"/>
        <w:ind w:left="283"/>
      </w:pPr>
      <w:r>
        <w:rPr>
          <w:rFonts w:ascii="Calibri" w:hAnsi="Calibri" w:eastAsia="Calibri"/>
          <w:b w:val="0"/>
          <w:color w:val="4A4A4A"/>
          <w:sz w:val="21"/>
        </w:rPr>
        <w:t>☐  Policy acceptance is required at signup</w:t>
      </w:r>
    </w:p>
    <w:p>
      <w:pPr>
        <w:pStyle w:val="ListBullet"/>
        <w:spacing w:after="60"/>
        <w:ind w:left="283"/>
      </w:pPr>
      <w:r>
        <w:rPr>
          <w:rFonts w:ascii="Calibri" w:hAnsi="Calibri" w:eastAsia="Calibri"/>
          <w:b w:val="0"/>
          <w:color w:val="4A4A4A"/>
          <w:sz w:val="21"/>
        </w:rPr>
        <w:t>☐  Admin can approve and suspend users</w:t>
      </w:r>
    </w:p>
    <w:p>
      <w:pPr>
        <w:pStyle w:val="ListBullet"/>
        <w:spacing w:after="60"/>
        <w:ind w:left="283"/>
      </w:pPr>
      <w:r>
        <w:rPr>
          <w:rFonts w:ascii="Calibri" w:hAnsi="Calibri" w:eastAsia="Calibri"/>
          <w:b w:val="0"/>
          <w:color w:val="4A4A4A"/>
          <w:sz w:val="21"/>
        </w:rPr>
        <w:t>☐  Site is usable on a mobile browser</w:t>
      </w:r>
    </w:p>
    <w:p>
      <w:pPr>
        <w:spacing w:after="120" w:before="200" w:line="276" w:lineRule="auto"/>
        <w:jc w:val="left"/>
      </w:pPr>
      <w:r>
        <w:rPr>
          <w:rFonts w:ascii="Calibri" w:hAnsi="Calibri" w:eastAsia="Calibri"/>
          <w:b/>
          <w:color w:val="0F3D22"/>
          <w:sz w:val="24"/>
        </w:rPr>
        <w:t>Not in Phase 1</w:t>
      </w:r>
    </w:p>
    <w:p>
      <w:pPr>
        <w:spacing w:after="160" w:before="0" w:line="276" w:lineRule="auto"/>
        <w:jc w:val="both"/>
      </w:pPr>
      <w:r>
        <w:rPr>
          <w:rFonts w:ascii="Calibri" w:hAnsi="Calibri" w:eastAsia="Calibri"/>
          <w:b w:val="0"/>
          <w:color w:val="4A4A4A"/>
          <w:sz w:val="22"/>
        </w:rPr>
        <w:t>Vehicle upload, folders, bidding, notifications, fees, or blocking.</w:t>
      </w:r>
    </w:p>
    <w:p>
      <w:pPr>
        <w:spacing w:after="160" w:before="280" w:line="276" w:lineRule="auto"/>
        <w:jc w:val="left"/>
      </w:pPr>
      <w:r>
        <w:rPr>
          <w:rFonts w:ascii="Calibri" w:hAnsi="Calibri" w:eastAsia="Calibri"/>
          <w:b/>
          <w:color w:val="1B6B3A"/>
          <w:sz w:val="28"/>
        </w:rPr>
        <w:t>5. Phase 2 — Listings &amp; Company Folders</w:t>
      </w:r>
    </w:p>
    <w:tbl>
      <w:tblPr>
        <w:tblW w:type="auto" w:w="0"/>
        <w:jc w:val="center"/>
        <w:tblLayout w:type="autofit"/>
        <w:tblLook w:firstColumn="1" w:firstRow="1" w:lastColumn="0" w:lastRow="0" w:noHBand="0" w:noVBand="1" w:val="04A0"/>
      </w:tblPr>
      <w:tblGrid>
        <w:gridCol w:w="3213"/>
        <w:gridCol w:w="3213"/>
        <w:gridCol w:w="3213"/>
      </w:tblGrid>
      <w:tr>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Payment on Approval</w:t>
            </w:r>
          </w:p>
        </w:tc>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Duration</w:t>
            </w:r>
          </w:p>
        </w:tc>
        <w:tc>
          <w:tcPr>
            <w:tcW w:type="dxa" w:w="3402"/>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Starts When</w:t>
            </w:r>
          </w:p>
        </w:tc>
      </w:tr>
      <w:tr>
        <w:tc>
          <w:tcPr>
            <w:tcW w:type="dxa" w:w="3118"/>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PKR 40,000</w:t>
            </w:r>
          </w:p>
        </w:tc>
        <w:tc>
          <w:tcPr>
            <w:tcW w:type="dxa" w:w="3118"/>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~7 days</w:t>
            </w:r>
          </w:p>
        </w:tc>
        <w:tc>
          <w:tcPr>
            <w:tcW w:type="dxa" w:w="3402"/>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Phase 1 approved + PKR 40,000 paid</w:t>
            </w:r>
          </w:p>
        </w:tc>
      </w:tr>
    </w:tbl>
    <w:p>
      <w:pPr>
        <w:spacing w:after="160"/>
      </w:pPr>
    </w:p>
    <w:p>
      <w:pPr>
        <w:spacing w:after="120" w:before="200" w:line="276" w:lineRule="auto"/>
        <w:jc w:val="left"/>
      </w:pPr>
      <w:r>
        <w:rPr>
          <w:rFonts w:ascii="Calibri" w:hAnsi="Calibri" w:eastAsia="Calibri"/>
          <w:b/>
          <w:color w:val="0F3D22"/>
          <w:sz w:val="24"/>
        </w:rPr>
        <w:t>Goal</w:t>
      </w:r>
    </w:p>
    <w:p>
      <w:pPr>
        <w:spacing w:after="160" w:before="0" w:line="276" w:lineRule="auto"/>
        <w:jc w:val="both"/>
      </w:pPr>
      <w:r>
        <w:rPr>
          <w:rFonts w:ascii="Calibri" w:hAnsi="Calibri" w:eastAsia="Calibri"/>
          <w:b w:val="0"/>
          <w:color w:val="4A4A4A"/>
          <w:sz w:val="22"/>
        </w:rPr>
        <w:t>Insurance companies and private sellers manage vehicles; dealers browse inventory by company folder.</w:t>
      </w:r>
    </w:p>
    <w:p>
      <w:pPr>
        <w:spacing w:after="120" w:before="200" w:line="276" w:lineRule="auto"/>
        <w:jc w:val="left"/>
      </w:pPr>
      <w:r>
        <w:rPr>
          <w:rFonts w:ascii="Calibri" w:hAnsi="Calibri" w:eastAsia="Calibri"/>
          <w:b/>
          <w:color w:val="0F3D22"/>
          <w:sz w:val="24"/>
        </w:rPr>
        <w:t>Deliverables</w:t>
      </w:r>
    </w:p>
    <w:p>
      <w:pPr>
        <w:pStyle w:val="ListBullet"/>
        <w:spacing w:after="60"/>
        <w:ind w:left="283"/>
      </w:pPr>
      <w:r>
        <w:rPr>
          <w:rFonts w:ascii="Calibri" w:hAnsi="Calibri" w:eastAsia="Calibri"/>
          <w:b w:val="0"/>
          <w:color w:val="4A4A4A"/>
          <w:sz w:val="21"/>
        </w:rPr>
        <w:t>Insurance dashboard with company folder for their listings</w:t>
      </w:r>
    </w:p>
    <w:p>
      <w:pPr>
        <w:pStyle w:val="ListBullet"/>
        <w:spacing w:after="60"/>
        <w:ind w:left="283"/>
      </w:pPr>
      <w:r>
        <w:rPr>
          <w:rFonts w:ascii="Calibri" w:hAnsi="Calibri" w:eastAsia="Calibri"/>
          <w:b w:val="0"/>
          <w:color w:val="4A4A4A"/>
          <w:sz w:val="21"/>
        </w:rPr>
        <w:t>Add/edit vehicle: multiple photos, make, model, variant (optional), registration no., company value (optional), comments</w:t>
      </w:r>
    </w:p>
    <w:p>
      <w:pPr>
        <w:pStyle w:val="ListBullet"/>
        <w:spacing w:after="60"/>
        <w:ind w:left="283"/>
      </w:pPr>
      <w:r>
        <w:rPr>
          <w:rFonts w:ascii="Calibri" w:hAnsi="Calibri" w:eastAsia="Calibri"/>
          <w:b w:val="0"/>
          <w:color w:val="4A4A4A"/>
          <w:sz w:val="21"/>
        </w:rPr>
        <w:t>Draft vs Publish workflow (save drafts for later batch auctions)</w:t>
      </w:r>
    </w:p>
    <w:p>
      <w:pPr>
        <w:pStyle w:val="ListBullet"/>
        <w:spacing w:after="60"/>
        <w:ind w:left="283"/>
      </w:pPr>
      <w:r>
        <w:rPr>
          <w:rFonts w:ascii="Calibri" w:hAnsi="Calibri" w:eastAsia="Calibri"/>
          <w:b w:val="0"/>
          <w:color w:val="4A4A4A"/>
          <w:sz w:val="21"/>
        </w:rPr>
        <w:t>Private seller dashboard: list and manage own vehicles</w:t>
      </w:r>
    </w:p>
    <w:p>
      <w:pPr>
        <w:pStyle w:val="ListBullet"/>
        <w:spacing w:after="60"/>
        <w:ind w:left="283"/>
      </w:pPr>
      <w:r>
        <w:rPr>
          <w:rFonts w:ascii="Calibri" w:hAnsi="Calibri" w:eastAsia="Calibri"/>
          <w:b w:val="0"/>
          <w:color w:val="4A4A4A"/>
          <w:sz w:val="21"/>
        </w:rPr>
        <w:t>Dealer dashboard: side menu of insurance company folders</w:t>
      </w:r>
    </w:p>
    <w:p>
      <w:pPr>
        <w:pStyle w:val="ListBullet"/>
        <w:spacing w:after="60"/>
        <w:ind w:left="283"/>
      </w:pPr>
      <w:r>
        <w:rPr>
          <w:rFonts w:ascii="Calibri" w:hAnsi="Calibri" w:eastAsia="Calibri"/>
          <w:b w:val="0"/>
          <w:color w:val="4A4A4A"/>
          <w:sz w:val="21"/>
        </w:rPr>
        <w:t>Open folder → view that company’s live vehicles; vehicle detail page (view only)</w:t>
      </w:r>
    </w:p>
    <w:p>
      <w:pPr>
        <w:pStyle w:val="ListBullet"/>
        <w:spacing w:after="60"/>
        <w:ind w:left="283"/>
      </w:pPr>
      <w:r>
        <w:rPr>
          <w:rFonts w:ascii="Calibri" w:hAnsi="Calibri" w:eastAsia="Calibri"/>
          <w:b w:val="0"/>
          <w:color w:val="4A4A4A"/>
          <w:sz w:val="21"/>
        </w:rPr>
        <w:t>Image upload to cloud/storage</w:t>
      </w:r>
    </w:p>
    <w:p>
      <w:pPr>
        <w:pStyle w:val="ListBullet"/>
        <w:spacing w:after="60"/>
        <w:ind w:left="283"/>
      </w:pPr>
      <w:r>
        <w:rPr>
          <w:rFonts w:ascii="Calibri" w:hAnsi="Calibri" w:eastAsia="Calibri"/>
          <w:b w:val="0"/>
          <w:color w:val="4A4A4A"/>
          <w:sz w:val="21"/>
        </w:rPr>
        <w:t>Admin: basic listing moderation (view / hide)</w:t>
      </w:r>
    </w:p>
    <w:p>
      <w:pPr>
        <w:spacing w:after="120" w:before="200" w:line="276" w:lineRule="auto"/>
        <w:jc w:val="left"/>
      </w:pPr>
      <w:r>
        <w:rPr>
          <w:rFonts w:ascii="Calibri" w:hAnsi="Calibri" w:eastAsia="Calibri"/>
          <w:b/>
          <w:color w:val="0F3D22"/>
          <w:sz w:val="24"/>
        </w:rPr>
        <w:t>Demo Walkthrough</w:t>
      </w:r>
    </w:p>
    <w:p>
      <w:pPr>
        <w:pStyle w:val="ListBullet"/>
        <w:spacing w:after="60"/>
        <w:ind w:left="283"/>
      </w:pPr>
      <w:r>
        <w:rPr>
          <w:rFonts w:ascii="Calibri" w:hAnsi="Calibri" w:eastAsia="Calibri"/>
          <w:b w:val="0"/>
          <w:color w:val="4A4A4A"/>
          <w:sz w:val="21"/>
        </w:rPr>
        <w:t>Insurance user uploads 2–3 vehicles (draft + publish)</w:t>
      </w:r>
    </w:p>
    <w:p>
      <w:pPr>
        <w:pStyle w:val="ListBullet"/>
        <w:spacing w:after="60"/>
        <w:ind w:left="283"/>
      </w:pPr>
      <w:r>
        <w:rPr>
          <w:rFonts w:ascii="Calibri" w:hAnsi="Calibri" w:eastAsia="Calibri"/>
          <w:b w:val="0"/>
          <w:color w:val="4A4A4A"/>
          <w:sz w:val="21"/>
        </w:rPr>
        <w:t>Dealer opens that company’s folder and sees published vehicles only</w:t>
      </w:r>
    </w:p>
    <w:p>
      <w:pPr>
        <w:pStyle w:val="ListBullet"/>
        <w:spacing w:after="60"/>
        <w:ind w:left="283"/>
      </w:pPr>
      <w:r>
        <w:rPr>
          <w:rFonts w:ascii="Calibri" w:hAnsi="Calibri" w:eastAsia="Calibri"/>
          <w:b w:val="0"/>
          <w:color w:val="4A4A4A"/>
          <w:sz w:val="21"/>
        </w:rPr>
        <w:t>Private seller lists one vehicle</w:t>
      </w:r>
    </w:p>
    <w:p>
      <w:pPr>
        <w:pStyle w:val="ListBullet"/>
        <w:spacing w:after="60"/>
        <w:ind w:left="283"/>
      </w:pPr>
      <w:r>
        <w:rPr>
          <w:rFonts w:ascii="Calibri" w:hAnsi="Calibri" w:eastAsia="Calibri"/>
          <w:b w:val="0"/>
          <w:color w:val="4A4A4A"/>
          <w:sz w:val="21"/>
        </w:rPr>
        <w:t>Mobile: browse folder and open a vehicle</w:t>
      </w:r>
    </w:p>
    <w:p>
      <w:pPr>
        <w:spacing w:after="120" w:before="200" w:line="276" w:lineRule="auto"/>
        <w:jc w:val="left"/>
      </w:pPr>
      <w:r>
        <w:rPr>
          <w:rFonts w:ascii="Calibri" w:hAnsi="Calibri" w:eastAsia="Calibri"/>
          <w:b/>
          <w:color w:val="0F3D22"/>
          <w:sz w:val="24"/>
        </w:rPr>
        <w:t>Client Approval Checklist</w:t>
      </w:r>
    </w:p>
    <w:p>
      <w:pPr>
        <w:pStyle w:val="ListBullet"/>
        <w:spacing w:after="60"/>
        <w:ind w:left="283"/>
      </w:pPr>
      <w:r>
        <w:rPr>
          <w:rFonts w:ascii="Calibri" w:hAnsi="Calibri" w:eastAsia="Calibri"/>
          <w:b w:val="0"/>
          <w:color w:val="4A4A4A"/>
          <w:sz w:val="21"/>
        </w:rPr>
        <w:t>☐  Photos and required fields work correctly</w:t>
      </w:r>
    </w:p>
    <w:p>
      <w:pPr>
        <w:pStyle w:val="ListBullet"/>
        <w:spacing w:after="60"/>
        <w:ind w:left="283"/>
      </w:pPr>
      <w:r>
        <w:rPr>
          <w:rFonts w:ascii="Calibri" w:hAnsi="Calibri" w:eastAsia="Calibri"/>
          <w:b w:val="0"/>
          <w:color w:val="4A4A4A"/>
          <w:sz w:val="21"/>
        </w:rPr>
        <w:t>☐  Drafts are hidden from dealers; published listings appear</w:t>
      </w:r>
    </w:p>
    <w:p>
      <w:pPr>
        <w:pStyle w:val="ListBullet"/>
        <w:spacing w:after="60"/>
        <w:ind w:left="283"/>
      </w:pPr>
      <w:r>
        <w:rPr>
          <w:rFonts w:ascii="Calibri" w:hAnsi="Calibri" w:eastAsia="Calibri"/>
          <w:b w:val="0"/>
          <w:color w:val="4A4A4A"/>
          <w:sz w:val="21"/>
        </w:rPr>
        <w:t>☐  Folders show the correct company’s vehicles</w:t>
      </w:r>
    </w:p>
    <w:p>
      <w:pPr>
        <w:pStyle w:val="ListBullet"/>
        <w:spacing w:after="60"/>
        <w:ind w:left="283"/>
      </w:pPr>
      <w:r>
        <w:rPr>
          <w:rFonts w:ascii="Calibri" w:hAnsi="Calibri" w:eastAsia="Calibri"/>
          <w:b w:val="0"/>
          <w:color w:val="4A4A4A"/>
          <w:sz w:val="21"/>
        </w:rPr>
        <w:t>☐  Private seller can list a vehicle</w:t>
      </w:r>
    </w:p>
    <w:p>
      <w:pPr>
        <w:pStyle w:val="ListBullet"/>
        <w:spacing w:after="60"/>
        <w:ind w:left="283"/>
      </w:pPr>
      <w:r>
        <w:rPr>
          <w:rFonts w:ascii="Calibri" w:hAnsi="Calibri" w:eastAsia="Calibri"/>
          <w:b w:val="0"/>
          <w:color w:val="4A4A4A"/>
          <w:sz w:val="21"/>
        </w:rPr>
        <w:t>☐  Layout remains clean on mobile</w:t>
      </w:r>
    </w:p>
    <w:p>
      <w:pPr>
        <w:spacing w:after="120" w:before="200" w:line="276" w:lineRule="auto"/>
        <w:jc w:val="left"/>
      </w:pPr>
      <w:r>
        <w:rPr>
          <w:rFonts w:ascii="Calibri" w:hAnsi="Calibri" w:eastAsia="Calibri"/>
          <w:b/>
          <w:color w:val="0F3D22"/>
          <w:sz w:val="24"/>
        </w:rPr>
        <w:t>Not in Phase 2</w:t>
      </w:r>
    </w:p>
    <w:p>
      <w:pPr>
        <w:spacing w:after="160" w:before="0" w:line="276" w:lineRule="auto"/>
        <w:jc w:val="both"/>
      </w:pPr>
      <w:r>
        <w:rPr>
          <w:rFonts w:ascii="Calibri" w:hAnsi="Calibri" w:eastAsia="Calibri"/>
          <w:b w:val="0"/>
          <w:color w:val="4A4A4A"/>
          <w:sz w:val="22"/>
        </w:rPr>
        <w:t>Placing bids, auction end logic, winner selection, blocking, fees, or email alerts.</w:t>
      </w:r>
    </w:p>
    <w:p>
      <w:r>
        <w:br w:type="page"/>
      </w:r>
    </w:p>
    <w:p>
      <w:pPr>
        <w:spacing w:after="160" w:before="280" w:line="276" w:lineRule="auto"/>
        <w:jc w:val="left"/>
      </w:pPr>
      <w:r>
        <w:rPr>
          <w:rFonts w:ascii="Calibri" w:hAnsi="Calibri" w:eastAsia="Calibri"/>
          <w:b/>
          <w:color w:val="1B6B3A"/>
          <w:sz w:val="28"/>
        </w:rPr>
        <w:t>6. Phase 3 — Auctions, Bids &amp; Business Controls</w:t>
      </w:r>
    </w:p>
    <w:tbl>
      <w:tblPr>
        <w:tblW w:type="auto" w:w="0"/>
        <w:jc w:val="center"/>
        <w:tblLayout w:type="autofit"/>
        <w:tblLook w:firstColumn="1" w:firstRow="1" w:lastColumn="0" w:lastRow="0" w:noHBand="0" w:noVBand="1" w:val="04A0"/>
      </w:tblPr>
      <w:tblGrid>
        <w:gridCol w:w="3213"/>
        <w:gridCol w:w="3213"/>
        <w:gridCol w:w="3213"/>
      </w:tblGrid>
      <w:tr>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Payment on Approval</w:t>
            </w:r>
          </w:p>
        </w:tc>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Duration</w:t>
            </w:r>
          </w:p>
        </w:tc>
        <w:tc>
          <w:tcPr>
            <w:tcW w:type="dxa" w:w="3402"/>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Starts When</w:t>
            </w:r>
          </w:p>
        </w:tc>
      </w:tr>
      <w:tr>
        <w:tc>
          <w:tcPr>
            <w:tcW w:type="dxa" w:w="3118"/>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PKR 40,000</w:t>
            </w:r>
          </w:p>
        </w:tc>
        <w:tc>
          <w:tcPr>
            <w:tcW w:type="dxa" w:w="3118"/>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~7 days</w:t>
            </w:r>
          </w:p>
        </w:tc>
        <w:tc>
          <w:tcPr>
            <w:tcW w:type="dxa" w:w="3402"/>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Phase 2 approved + PKR 40,000 paid</w:t>
            </w:r>
          </w:p>
        </w:tc>
      </w:tr>
    </w:tbl>
    <w:p>
      <w:pPr>
        <w:spacing w:after="160"/>
      </w:pPr>
    </w:p>
    <w:p>
      <w:pPr>
        <w:spacing w:after="120" w:before="200" w:line="276" w:lineRule="auto"/>
        <w:jc w:val="left"/>
      </w:pPr>
      <w:r>
        <w:rPr>
          <w:rFonts w:ascii="Calibri" w:hAnsi="Calibri" w:eastAsia="Calibri"/>
          <w:b/>
          <w:color w:val="0F3D22"/>
          <w:sz w:val="24"/>
        </w:rPr>
        <w:t>Goal</w:t>
      </w:r>
    </w:p>
    <w:p>
      <w:pPr>
        <w:spacing w:after="160" w:before="0" w:line="276" w:lineRule="auto"/>
        <w:jc w:val="both"/>
      </w:pPr>
      <w:r>
        <w:rPr>
          <w:rFonts w:ascii="Calibri" w:hAnsi="Calibri" w:eastAsia="Calibri"/>
          <w:b w:val="0"/>
          <w:color w:val="4A4A4A"/>
          <w:sz w:val="22"/>
        </w:rPr>
        <w:t>Complete marketplace loop: bid → win → offline payment tracking → block/fine → platform fee ledger.</w:t>
      </w:r>
    </w:p>
    <w:p>
      <w:pPr>
        <w:spacing w:after="120" w:before="200" w:line="276" w:lineRule="auto"/>
        <w:jc w:val="left"/>
      </w:pPr>
      <w:r>
        <w:rPr>
          <w:rFonts w:ascii="Calibri" w:hAnsi="Calibri" w:eastAsia="Calibri"/>
          <w:b/>
          <w:color w:val="0F3D22"/>
          <w:sz w:val="24"/>
        </w:rPr>
        <w:t>Deliverables</w:t>
      </w:r>
    </w:p>
    <w:p>
      <w:pPr>
        <w:pStyle w:val="ListBullet"/>
        <w:spacing w:after="60"/>
        <w:ind w:left="283"/>
      </w:pPr>
      <w:r>
        <w:rPr>
          <w:rFonts w:ascii="Calibri" w:hAnsi="Calibri" w:eastAsia="Calibri"/>
          <w:b w:val="0"/>
          <w:color w:val="4A4A4A"/>
          <w:sz w:val="21"/>
        </w:rPr>
        <w:t>Dealer bidding on live insurance auctions</w:t>
      </w:r>
    </w:p>
    <w:p>
      <w:pPr>
        <w:pStyle w:val="ListBullet"/>
        <w:spacing w:after="60"/>
        <w:ind w:left="283"/>
      </w:pPr>
      <w:r>
        <w:rPr>
          <w:rFonts w:ascii="Calibri" w:hAnsi="Calibri" w:eastAsia="Calibri"/>
          <w:b w:val="0"/>
          <w:color w:val="4A4A4A"/>
          <w:sz w:val="21"/>
        </w:rPr>
        <w:t>Asymmetric visibility: dealers see highest bid amount only; sellers see full bidder names + amounts</w:t>
      </w:r>
    </w:p>
    <w:p>
      <w:pPr>
        <w:pStyle w:val="ListBullet"/>
        <w:spacing w:after="60"/>
        <w:ind w:left="283"/>
      </w:pPr>
      <w:r>
        <w:rPr>
          <w:rFonts w:ascii="Calibri" w:hAnsi="Calibri" w:eastAsia="Calibri"/>
          <w:b w:val="0"/>
          <w:color w:val="4A4A4A"/>
          <w:sz w:val="21"/>
        </w:rPr>
        <w:t>Auction close: seller sets end date/time; highest bid wins</w:t>
      </w:r>
    </w:p>
    <w:p>
      <w:pPr>
        <w:pStyle w:val="ListBullet"/>
        <w:spacing w:after="60"/>
        <w:ind w:left="283"/>
      </w:pPr>
      <w:r>
        <w:rPr>
          <w:rFonts w:ascii="Calibri" w:hAnsi="Calibri" w:eastAsia="Calibri"/>
          <w:b w:val="0"/>
          <w:color w:val="4A4A4A"/>
          <w:sz w:val="21"/>
        </w:rPr>
        <w:t>In-app status updates for winner and seller</w:t>
      </w:r>
    </w:p>
    <w:p>
      <w:pPr>
        <w:pStyle w:val="ListBullet"/>
        <w:spacing w:after="60"/>
        <w:ind w:left="283"/>
      </w:pPr>
      <w:r>
        <w:rPr>
          <w:rFonts w:ascii="Calibri" w:hAnsi="Calibri" w:eastAsia="Calibri"/>
          <w:b w:val="0"/>
          <w:color w:val="4A4A4A"/>
          <w:sz w:val="21"/>
        </w:rPr>
        <w:t>Private seller flow: offers with Accept / Reject (not automatic highest-wins)</w:t>
      </w:r>
    </w:p>
    <w:p>
      <w:pPr>
        <w:pStyle w:val="ListBullet"/>
        <w:spacing w:after="60"/>
        <w:ind w:left="283"/>
      </w:pPr>
      <w:r>
        <w:rPr>
          <w:rFonts w:ascii="Calibri" w:hAnsi="Calibri" w:eastAsia="Calibri"/>
          <w:b w:val="0"/>
          <w:color w:val="4A4A4A"/>
          <w:sz w:val="21"/>
        </w:rPr>
        <w:t>Payment window: default 7 days; seller can extend; statuses awaiting / paid / overdue</w:t>
      </w:r>
    </w:p>
    <w:p>
      <w:pPr>
        <w:pStyle w:val="ListBullet"/>
        <w:spacing w:after="60"/>
        <w:ind w:left="283"/>
      </w:pPr>
      <w:r>
        <w:rPr>
          <w:rFonts w:ascii="Calibri" w:hAnsi="Calibri" w:eastAsia="Calibri"/>
          <w:b w:val="0"/>
          <w:color w:val="4A4A4A"/>
          <w:sz w:val="21"/>
        </w:rPr>
        <w:t>Vehicle payment remains offline between buyer and seller (outside the platform)</w:t>
      </w:r>
    </w:p>
    <w:p>
      <w:pPr>
        <w:pStyle w:val="ListBullet"/>
        <w:spacing w:after="60"/>
        <w:ind w:left="283"/>
      </w:pPr>
      <w:r>
        <w:rPr>
          <w:rFonts w:ascii="Calibri" w:hAnsi="Calibri" w:eastAsia="Calibri"/>
          <w:b w:val="0"/>
          <w:color w:val="4A4A4A"/>
          <w:sz w:val="21"/>
        </w:rPr>
        <w:t>Blocking: insurance can block non-paying winners from future auctions with that company</w:t>
      </w:r>
    </w:p>
    <w:p>
      <w:pPr>
        <w:pStyle w:val="ListBullet"/>
        <w:spacing w:after="60"/>
        <w:ind w:left="283"/>
      </w:pPr>
      <w:r>
        <w:rPr>
          <w:rFonts w:ascii="Calibri" w:hAnsi="Calibri" w:eastAsia="Calibri"/>
          <w:b w:val="0"/>
          <w:color w:val="4A4A4A"/>
          <w:sz w:val="21"/>
        </w:rPr>
        <w:t>Unblock after fine: admin confirms bank transfer receipt (no online gateway in this budget)</w:t>
      </w:r>
    </w:p>
    <w:p>
      <w:pPr>
        <w:pStyle w:val="ListBullet"/>
        <w:spacing w:after="60"/>
        <w:ind w:left="283"/>
      </w:pPr>
      <w:r>
        <w:rPr>
          <w:rFonts w:ascii="Calibri" w:hAnsi="Calibri" w:eastAsia="Calibri"/>
          <w:b w:val="0"/>
          <w:color w:val="4A4A4A"/>
          <w:sz w:val="21"/>
        </w:rPr>
        <w:t>Platform fee ledger for seller + winning buyer; mark paid manually</w:t>
      </w:r>
    </w:p>
    <w:p>
      <w:pPr>
        <w:pStyle w:val="ListBullet"/>
        <w:spacing w:after="60"/>
        <w:ind w:left="283"/>
      </w:pPr>
      <w:r>
        <w:rPr>
          <w:rFonts w:ascii="Calibri" w:hAnsi="Calibri" w:eastAsia="Calibri"/>
          <w:b w:val="0"/>
          <w:color w:val="4A4A4A"/>
          <w:sz w:val="21"/>
        </w:rPr>
        <w:t>Admin: monitor bids, blocks, fee statuses, basic dispute actions</w:t>
      </w:r>
    </w:p>
    <w:p>
      <w:pPr>
        <w:spacing w:after="120" w:before="200" w:line="276" w:lineRule="auto"/>
        <w:jc w:val="left"/>
      </w:pPr>
      <w:r>
        <w:rPr>
          <w:rFonts w:ascii="Calibri" w:hAnsi="Calibri" w:eastAsia="Calibri"/>
          <w:b/>
          <w:color w:val="0F3D22"/>
          <w:sz w:val="24"/>
        </w:rPr>
        <w:t>Demo Walkthrough</w:t>
      </w:r>
    </w:p>
    <w:p>
      <w:pPr>
        <w:pStyle w:val="ListBullet"/>
        <w:spacing w:after="60"/>
        <w:ind w:left="283"/>
      </w:pPr>
      <w:r>
        <w:rPr>
          <w:rFonts w:ascii="Calibri" w:hAnsi="Calibri" w:eastAsia="Calibri"/>
          <w:b w:val="0"/>
          <w:color w:val="4A4A4A"/>
          <w:sz w:val="21"/>
        </w:rPr>
        <w:t>Two dealers bid; insurance sees both names; dealers do not see each other</w:t>
      </w:r>
    </w:p>
    <w:p>
      <w:pPr>
        <w:pStyle w:val="ListBullet"/>
        <w:spacing w:after="60"/>
        <w:ind w:left="283"/>
      </w:pPr>
      <w:r>
        <w:rPr>
          <w:rFonts w:ascii="Calibri" w:hAnsi="Calibri" w:eastAsia="Calibri"/>
          <w:b w:val="0"/>
          <w:color w:val="4A4A4A"/>
          <w:sz w:val="21"/>
        </w:rPr>
        <w:t>Auction ends → highest bidder wins</w:t>
      </w:r>
    </w:p>
    <w:p>
      <w:pPr>
        <w:pStyle w:val="ListBullet"/>
        <w:spacing w:after="60"/>
        <w:ind w:left="283"/>
      </w:pPr>
      <w:r>
        <w:rPr>
          <w:rFonts w:ascii="Calibri" w:hAnsi="Calibri" w:eastAsia="Calibri"/>
          <w:b w:val="0"/>
          <w:color w:val="4A4A4A"/>
          <w:sz w:val="21"/>
        </w:rPr>
        <w:t>Mark overdue → block dealer → dealer cannot bid on that company</w:t>
      </w:r>
    </w:p>
    <w:p>
      <w:pPr>
        <w:pStyle w:val="ListBullet"/>
        <w:spacing w:after="60"/>
        <w:ind w:left="283"/>
      </w:pPr>
      <w:r>
        <w:rPr>
          <w:rFonts w:ascii="Calibri" w:hAnsi="Calibri" w:eastAsia="Calibri"/>
          <w:b w:val="0"/>
          <w:color w:val="4A4A4A"/>
          <w:sz w:val="21"/>
        </w:rPr>
        <w:t>Admin confirms fine → dealer unblocked</w:t>
      </w:r>
    </w:p>
    <w:p>
      <w:pPr>
        <w:pStyle w:val="ListBullet"/>
        <w:spacing w:after="60"/>
        <w:ind w:left="283"/>
      </w:pPr>
      <w:r>
        <w:rPr>
          <w:rFonts w:ascii="Calibri" w:hAnsi="Calibri" w:eastAsia="Calibri"/>
          <w:b w:val="0"/>
          <w:color w:val="4A4A4A"/>
          <w:sz w:val="21"/>
        </w:rPr>
        <w:t>Private seller accepts one offer</w:t>
      </w:r>
    </w:p>
    <w:p>
      <w:pPr>
        <w:pStyle w:val="ListBullet"/>
        <w:spacing w:after="60"/>
        <w:ind w:left="283"/>
      </w:pPr>
      <w:r>
        <w:rPr>
          <w:rFonts w:ascii="Calibri" w:hAnsi="Calibri" w:eastAsia="Calibri"/>
          <w:b w:val="0"/>
          <w:color w:val="4A4A4A"/>
          <w:sz w:val="21"/>
        </w:rPr>
        <w:t>Fee ledger shows both-side fees</w:t>
      </w:r>
    </w:p>
    <w:p>
      <w:pPr>
        <w:spacing w:after="120" w:before="200" w:line="276" w:lineRule="auto"/>
        <w:jc w:val="left"/>
      </w:pPr>
      <w:r>
        <w:rPr>
          <w:rFonts w:ascii="Calibri" w:hAnsi="Calibri" w:eastAsia="Calibri"/>
          <w:b/>
          <w:color w:val="0F3D22"/>
          <w:sz w:val="24"/>
        </w:rPr>
        <w:t>Client Approval Checklist</w:t>
      </w:r>
    </w:p>
    <w:p>
      <w:pPr>
        <w:pStyle w:val="ListBullet"/>
        <w:spacing w:after="60"/>
        <w:ind w:left="283"/>
      </w:pPr>
      <w:r>
        <w:rPr>
          <w:rFonts w:ascii="Calibri" w:hAnsi="Calibri" w:eastAsia="Calibri"/>
          <w:b w:val="0"/>
          <w:color w:val="4A4A4A"/>
          <w:sz w:val="21"/>
        </w:rPr>
        <w:t>☐  Asymmetric bid visibility works as described</w:t>
      </w:r>
    </w:p>
    <w:p>
      <w:pPr>
        <w:pStyle w:val="ListBullet"/>
        <w:spacing w:after="60"/>
        <w:ind w:left="283"/>
      </w:pPr>
      <w:r>
        <w:rPr>
          <w:rFonts w:ascii="Calibri" w:hAnsi="Calibri" w:eastAsia="Calibri"/>
          <w:b w:val="0"/>
          <w:color w:val="4A4A4A"/>
          <w:sz w:val="21"/>
        </w:rPr>
        <w:t>☐  Highest bid wins on insurance auctions</w:t>
      </w:r>
    </w:p>
    <w:p>
      <w:pPr>
        <w:pStyle w:val="ListBullet"/>
        <w:spacing w:after="60"/>
        <w:ind w:left="283"/>
      </w:pPr>
      <w:r>
        <w:rPr>
          <w:rFonts w:ascii="Calibri" w:hAnsi="Calibri" w:eastAsia="Calibri"/>
          <w:b w:val="0"/>
          <w:color w:val="4A4A4A"/>
          <w:sz w:val="21"/>
        </w:rPr>
        <w:t>☐  Private accept/reject works</w:t>
      </w:r>
    </w:p>
    <w:p>
      <w:pPr>
        <w:pStyle w:val="ListBullet"/>
        <w:spacing w:after="60"/>
        <w:ind w:left="283"/>
      </w:pPr>
      <w:r>
        <w:rPr>
          <w:rFonts w:ascii="Calibri" w:hAnsi="Calibri" w:eastAsia="Calibri"/>
          <w:b w:val="0"/>
          <w:color w:val="4A4A4A"/>
          <w:sz w:val="21"/>
        </w:rPr>
        <w:t>☐  Block / unblock with admin-confirmed fine works</w:t>
      </w:r>
    </w:p>
    <w:p>
      <w:pPr>
        <w:pStyle w:val="ListBullet"/>
        <w:spacing w:after="60"/>
        <w:ind w:left="283"/>
      </w:pPr>
      <w:r>
        <w:rPr>
          <w:rFonts w:ascii="Calibri" w:hAnsi="Calibri" w:eastAsia="Calibri"/>
          <w:b w:val="0"/>
          <w:color w:val="4A4A4A"/>
          <w:sz w:val="21"/>
        </w:rPr>
        <w:t>☐  7-day window and extend work</w:t>
      </w:r>
    </w:p>
    <w:p>
      <w:pPr>
        <w:pStyle w:val="ListBullet"/>
        <w:spacing w:after="60"/>
        <w:ind w:left="283"/>
      </w:pPr>
      <w:r>
        <w:rPr>
          <w:rFonts w:ascii="Calibri" w:hAnsi="Calibri" w:eastAsia="Calibri"/>
          <w:b w:val="0"/>
          <w:color w:val="4A4A4A"/>
          <w:sz w:val="21"/>
        </w:rPr>
        <w:t>☐  Fee ledger is clear for admin use</w:t>
      </w:r>
    </w:p>
    <w:p>
      <w:pPr>
        <w:spacing w:after="120" w:before="200" w:line="276" w:lineRule="auto"/>
        <w:jc w:val="left"/>
      </w:pPr>
      <w:r>
        <w:rPr>
          <w:rFonts w:ascii="Calibri" w:hAnsi="Calibri" w:eastAsia="Calibri"/>
          <w:b/>
          <w:color w:val="0F3D22"/>
          <w:sz w:val="24"/>
        </w:rPr>
        <w:t>Not in Phase 3</w:t>
      </w:r>
    </w:p>
    <w:p>
      <w:pPr>
        <w:spacing w:after="160" w:before="0" w:line="276" w:lineRule="auto"/>
        <w:jc w:val="both"/>
      </w:pPr>
      <w:r>
        <w:rPr>
          <w:rFonts w:ascii="Calibri" w:hAnsi="Calibri" w:eastAsia="Calibri"/>
          <w:b w:val="0"/>
          <w:color w:val="4A4A4A"/>
          <w:sz w:val="22"/>
        </w:rPr>
        <w:t>Polished email templates, final-domain go-live, final visual polish, or training documentation.</w:t>
      </w:r>
    </w:p>
    <w:p>
      <w:pPr>
        <w:spacing w:after="160" w:before="280" w:line="276" w:lineRule="auto"/>
        <w:jc w:val="left"/>
      </w:pPr>
      <w:r>
        <w:rPr>
          <w:rFonts w:ascii="Calibri" w:hAnsi="Calibri" w:eastAsia="Calibri"/>
          <w:b/>
          <w:color w:val="1B6B3A"/>
          <w:sz w:val="28"/>
        </w:rPr>
        <w:t>7. Phase 4 — Notifications, Polish &amp; Go-Live</w:t>
      </w:r>
    </w:p>
    <w:tbl>
      <w:tblPr>
        <w:tblW w:type="auto" w:w="0"/>
        <w:jc w:val="center"/>
        <w:tblLayout w:type="autofit"/>
        <w:tblLook w:firstColumn="1" w:firstRow="1" w:lastColumn="0" w:lastRow="0" w:noHBand="0" w:noVBand="1" w:val="04A0"/>
      </w:tblPr>
      <w:tblGrid>
        <w:gridCol w:w="3213"/>
        <w:gridCol w:w="3213"/>
        <w:gridCol w:w="3213"/>
      </w:tblGrid>
      <w:tr>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Payment on Approval</w:t>
            </w:r>
          </w:p>
        </w:tc>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Duration</w:t>
            </w:r>
          </w:p>
        </w:tc>
        <w:tc>
          <w:tcPr>
            <w:tcW w:type="dxa" w:w="3402"/>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Starts When</w:t>
            </w:r>
          </w:p>
        </w:tc>
      </w:tr>
      <w:tr>
        <w:tc>
          <w:tcPr>
            <w:tcW w:type="dxa" w:w="3118"/>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PKR 30,000</w:t>
            </w:r>
          </w:p>
        </w:tc>
        <w:tc>
          <w:tcPr>
            <w:tcW w:type="dxa" w:w="3118"/>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~5 days</w:t>
            </w:r>
          </w:p>
        </w:tc>
        <w:tc>
          <w:tcPr>
            <w:tcW w:type="dxa" w:w="3402"/>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Phase 3 approved + PKR 40,000 paid</w:t>
            </w:r>
          </w:p>
        </w:tc>
      </w:tr>
    </w:tbl>
    <w:p>
      <w:pPr>
        <w:spacing w:after="160"/>
      </w:pPr>
    </w:p>
    <w:p>
      <w:pPr>
        <w:spacing w:after="120" w:before="200" w:line="276" w:lineRule="auto"/>
        <w:jc w:val="left"/>
      </w:pPr>
      <w:r>
        <w:rPr>
          <w:rFonts w:ascii="Calibri" w:hAnsi="Calibri" w:eastAsia="Calibri"/>
          <w:b/>
          <w:color w:val="0F3D22"/>
          <w:sz w:val="24"/>
        </w:rPr>
        <w:t>Goal</w:t>
      </w:r>
    </w:p>
    <w:p>
      <w:pPr>
        <w:spacing w:after="160" w:before="0" w:line="276" w:lineRule="auto"/>
        <w:jc w:val="both"/>
      </w:pPr>
      <w:r>
        <w:rPr>
          <w:rFonts w:ascii="Calibri" w:hAnsi="Calibri" w:eastAsia="Calibri"/>
          <w:b w:val="0"/>
          <w:color w:val="4A4A4A"/>
          <w:sz w:val="22"/>
        </w:rPr>
        <w:t>Production-ready release: email notifications, polish, live deploy, and final client UAT sign-off.</w:t>
      </w:r>
    </w:p>
    <w:p>
      <w:pPr>
        <w:spacing w:after="120" w:before="200" w:line="276" w:lineRule="auto"/>
        <w:jc w:val="left"/>
      </w:pPr>
      <w:r>
        <w:rPr>
          <w:rFonts w:ascii="Calibri" w:hAnsi="Calibri" w:eastAsia="Calibri"/>
          <w:b/>
          <w:color w:val="0F3D22"/>
          <w:sz w:val="24"/>
        </w:rPr>
        <w:t>Deliverables</w:t>
      </w:r>
    </w:p>
    <w:p>
      <w:pPr>
        <w:pStyle w:val="ListBullet"/>
        <w:spacing w:after="60"/>
        <w:ind w:left="283"/>
      </w:pPr>
      <w:r>
        <w:rPr>
          <w:rFonts w:ascii="Calibri" w:hAnsi="Calibri" w:eastAsia="Calibri"/>
          <w:b w:val="0"/>
          <w:color w:val="4A4A4A"/>
          <w:sz w:val="21"/>
        </w:rPr>
        <w:t>Email notifications: outbid, win (with seller contact basics), new bid/offer, auction ended</w:t>
      </w:r>
    </w:p>
    <w:p>
      <w:pPr>
        <w:pStyle w:val="ListBullet"/>
        <w:spacing w:after="60"/>
        <w:ind w:left="283"/>
      </w:pPr>
      <w:r>
        <w:rPr>
          <w:rFonts w:ascii="Calibri" w:hAnsi="Calibri" w:eastAsia="Calibri"/>
          <w:b w:val="0"/>
          <w:color w:val="4A4A4A"/>
          <w:sz w:val="21"/>
        </w:rPr>
        <w:t>Optional simple admin announcement email capability</w:t>
      </w:r>
    </w:p>
    <w:p>
      <w:pPr>
        <w:pStyle w:val="ListBullet"/>
        <w:spacing w:after="60"/>
        <w:ind w:left="283"/>
      </w:pPr>
      <w:r>
        <w:rPr>
          <w:rFonts w:ascii="Calibri" w:hAnsi="Calibri" w:eastAsia="Calibri"/>
          <w:b w:val="0"/>
          <w:color w:val="4A4A4A"/>
          <w:sz w:val="21"/>
        </w:rPr>
        <w:t>UI polish pass (theme consistency, navigation, mobile fixes)</w:t>
      </w:r>
    </w:p>
    <w:p>
      <w:pPr>
        <w:pStyle w:val="ListBullet"/>
        <w:spacing w:after="60"/>
        <w:ind w:left="283"/>
      </w:pPr>
      <w:r>
        <w:rPr>
          <w:rFonts w:ascii="Calibri" w:hAnsi="Calibri" w:eastAsia="Calibri"/>
          <w:b w:val="0"/>
          <w:color w:val="4A4A4A"/>
          <w:sz w:val="21"/>
        </w:rPr>
        <w:t>Bug fixes from Phases 1–3 within agreed scope</w:t>
      </w:r>
    </w:p>
    <w:p>
      <w:pPr>
        <w:pStyle w:val="ListBullet"/>
        <w:spacing w:after="60"/>
        <w:ind w:left="283"/>
      </w:pPr>
      <w:r>
        <w:rPr>
          <w:rFonts w:ascii="Calibri" w:hAnsi="Calibri" w:eastAsia="Calibri"/>
          <w:b w:val="0"/>
          <w:color w:val="4A4A4A"/>
          <w:sz w:val="21"/>
        </w:rPr>
        <w:t>Production deploy on client domain (if provided) or agreed host</w:t>
      </w:r>
    </w:p>
    <w:p>
      <w:pPr>
        <w:pStyle w:val="ListBullet"/>
        <w:spacing w:after="60"/>
        <w:ind w:left="283"/>
      </w:pPr>
      <w:r>
        <w:rPr>
          <w:rFonts w:ascii="Calibri" w:hAnsi="Calibri" w:eastAsia="Calibri"/>
          <w:b w:val="0"/>
          <w:color w:val="4A4A4A"/>
          <w:sz w:val="21"/>
        </w:rPr>
        <w:t>Short admin/ops handoff notes (approve users, confirm fees/fines)</w:t>
      </w:r>
    </w:p>
    <w:p>
      <w:pPr>
        <w:pStyle w:val="ListBullet"/>
        <w:spacing w:after="60"/>
        <w:ind w:left="283"/>
      </w:pPr>
      <w:r>
        <w:rPr>
          <w:rFonts w:ascii="Calibri" w:hAnsi="Calibri" w:eastAsia="Calibri"/>
          <w:b w:val="0"/>
          <w:color w:val="4A4A4A"/>
          <w:sz w:val="21"/>
        </w:rPr>
        <w:t>Final UAT session with client</w:t>
      </w:r>
    </w:p>
    <w:p>
      <w:pPr>
        <w:spacing w:after="120" w:before="200" w:line="276" w:lineRule="auto"/>
        <w:jc w:val="left"/>
      </w:pPr>
      <w:r>
        <w:rPr>
          <w:rFonts w:ascii="Calibri" w:hAnsi="Calibri" w:eastAsia="Calibri"/>
          <w:b/>
          <w:color w:val="0F3D22"/>
          <w:sz w:val="24"/>
        </w:rPr>
        <w:t>Demo Walkthrough</w:t>
      </w:r>
    </w:p>
    <w:p>
      <w:pPr>
        <w:pStyle w:val="ListBullet"/>
        <w:spacing w:after="60"/>
        <w:ind w:left="283"/>
      </w:pPr>
      <w:r>
        <w:rPr>
          <w:rFonts w:ascii="Calibri" w:hAnsi="Calibri" w:eastAsia="Calibri"/>
          <w:b w:val="0"/>
          <w:color w:val="4A4A4A"/>
          <w:sz w:val="21"/>
        </w:rPr>
        <w:t>Full flow on production URL: register → approve → list → bid → win</w:t>
      </w:r>
    </w:p>
    <w:p>
      <w:pPr>
        <w:pStyle w:val="ListBullet"/>
        <w:spacing w:after="60"/>
        <w:ind w:left="283"/>
      </w:pPr>
      <w:r>
        <w:rPr>
          <w:rFonts w:ascii="Calibri" w:hAnsi="Calibri" w:eastAsia="Calibri"/>
          <w:b w:val="0"/>
          <w:color w:val="4A4A4A"/>
          <w:sz w:val="21"/>
        </w:rPr>
        <w:t>Show sample notification emails</w:t>
      </w:r>
    </w:p>
    <w:p>
      <w:pPr>
        <w:pStyle w:val="ListBullet"/>
        <w:spacing w:after="60"/>
        <w:ind w:left="283"/>
      </w:pPr>
      <w:r>
        <w:rPr>
          <w:rFonts w:ascii="Calibri" w:hAnsi="Calibri" w:eastAsia="Calibri"/>
          <w:b w:val="0"/>
          <w:color w:val="4A4A4A"/>
          <w:sz w:val="21"/>
        </w:rPr>
        <w:t>Admin day-to-day walkthrough</w:t>
      </w:r>
    </w:p>
    <w:p>
      <w:pPr>
        <w:spacing w:after="120" w:before="200" w:line="276" w:lineRule="auto"/>
        <w:jc w:val="left"/>
      </w:pPr>
      <w:r>
        <w:rPr>
          <w:rFonts w:ascii="Calibri" w:hAnsi="Calibri" w:eastAsia="Calibri"/>
          <w:b/>
          <w:color w:val="0F3D22"/>
          <w:sz w:val="24"/>
        </w:rPr>
        <w:t>Client Approval Checklist</w:t>
      </w:r>
    </w:p>
    <w:p>
      <w:pPr>
        <w:pStyle w:val="ListBullet"/>
        <w:spacing w:after="60"/>
        <w:ind w:left="283"/>
      </w:pPr>
      <w:r>
        <w:rPr>
          <w:rFonts w:ascii="Calibri" w:hAnsi="Calibri" w:eastAsia="Calibri"/>
          <w:b w:val="0"/>
          <w:color w:val="4A4A4A"/>
          <w:sz w:val="21"/>
        </w:rPr>
        <w:t>☐  Production site reachable on agreed URL</w:t>
      </w:r>
    </w:p>
    <w:p>
      <w:pPr>
        <w:pStyle w:val="ListBullet"/>
        <w:spacing w:after="60"/>
        <w:ind w:left="283"/>
      </w:pPr>
      <w:r>
        <w:rPr>
          <w:rFonts w:ascii="Calibri" w:hAnsi="Calibri" w:eastAsia="Calibri"/>
          <w:b w:val="0"/>
          <w:color w:val="4A4A4A"/>
          <w:sz w:val="21"/>
        </w:rPr>
        <w:t>☐  Core emails received during testing</w:t>
      </w:r>
    </w:p>
    <w:p>
      <w:pPr>
        <w:pStyle w:val="ListBullet"/>
        <w:spacing w:after="60"/>
        <w:ind w:left="283"/>
      </w:pPr>
      <w:r>
        <w:rPr>
          <w:rFonts w:ascii="Calibri" w:hAnsi="Calibri" w:eastAsia="Calibri"/>
          <w:b w:val="0"/>
          <w:color w:val="4A4A4A"/>
          <w:sz w:val="21"/>
        </w:rPr>
        <w:t>☐  No blocking bugs on main journeys</w:t>
      </w:r>
    </w:p>
    <w:p>
      <w:pPr>
        <w:pStyle w:val="ListBullet"/>
        <w:spacing w:after="60"/>
        <w:ind w:left="283"/>
      </w:pPr>
      <w:r>
        <w:rPr>
          <w:rFonts w:ascii="Calibri" w:hAnsi="Calibri" w:eastAsia="Calibri"/>
          <w:b w:val="0"/>
          <w:color w:val="4A4A4A"/>
          <w:sz w:val="21"/>
        </w:rPr>
        <w:t>☐  Client accepts MVP as complete for the PKR 150,000 scope</w:t>
      </w:r>
    </w:p>
    <w:p>
      <w:pPr>
        <w:spacing w:after="160" w:before="0" w:line="276" w:lineRule="auto"/>
        <w:jc w:val="both"/>
      </w:pPr>
      <w:r>
        <w:rPr>
          <w:rFonts w:ascii="Calibri" w:hAnsi="Calibri" w:eastAsia="Calibri"/>
          <w:b w:val="0"/>
          <w:color w:val="4A4A4A"/>
          <w:sz w:val="22"/>
        </w:rPr>
        <w:t>After Phase 4 payment, the MVP project is closed. Further features require a new quote (Phase 5+).</w:t>
      </w:r>
    </w:p>
    <w:p>
      <w:r>
        <w:br w:type="page"/>
      </w:r>
    </w:p>
    <w:p>
      <w:pPr>
        <w:spacing w:after="160" w:before="280" w:line="276" w:lineRule="auto"/>
        <w:jc w:val="left"/>
      </w:pPr>
      <w:r>
        <w:rPr>
          <w:rFonts w:ascii="Calibri" w:hAnsi="Calibri" w:eastAsia="Calibri"/>
          <w:b/>
          <w:color w:val="1B6B3A"/>
          <w:sz w:val="28"/>
        </w:rPr>
        <w:t>8. Change Requests &amp; Revisions</w:t>
      </w:r>
    </w:p>
    <w:tbl>
      <w:tblPr>
        <w:tblW w:type="auto" w:w="0"/>
        <w:jc w:val="center"/>
        <w:tblLayout w:type="autofit"/>
        <w:tblLook w:firstColumn="1" w:firstRow="1" w:lastColumn="0" w:lastRow="0" w:noHBand="0" w:noVBand="1" w:val="04A0"/>
      </w:tblPr>
      <w:tblGrid>
        <w:gridCol w:w="4819"/>
        <w:gridCol w:w="4819"/>
      </w:tblGrid>
      <w:tr>
        <w:tc>
          <w:tcPr>
            <w:tcW w:type="dxa" w:w="3685"/>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Type</w:t>
            </w:r>
          </w:p>
        </w:tc>
        <w:tc>
          <w:tcPr>
            <w:tcW w:type="dxa" w:w="5953"/>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Policy</w:t>
            </w:r>
          </w:p>
        </w:tc>
      </w:tr>
      <w:tr>
        <w:tc>
          <w:tcPr>
            <w:tcW w:type="dxa" w:w="3685"/>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Bugs (does not work as in this plan)</w:t>
            </w:r>
          </w:p>
        </w:tc>
        <w:tc>
          <w:tcPr>
            <w:tcW w:type="dxa" w:w="5953"/>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Fixed free during the active phase and in Phase 4 polish</w:t>
            </w:r>
          </w:p>
        </w:tc>
      </w:tr>
      <w:tr>
        <w:tc>
          <w:tcPr>
            <w:tcW w:type="dxa" w:w="3685"/>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Small text / logo / color tweaks</w:t>
            </w:r>
          </w:p>
        </w:tc>
        <w:tc>
          <w:tcPr>
            <w:tcW w:type="dxa" w:w="5953"/>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Included if requested during the same phase review</w:t>
            </w:r>
          </w:p>
        </w:tc>
      </w:tr>
      <w:tr>
        <w:tc>
          <w:tcPr>
            <w:tcW w:type="dxa" w:w="3685"/>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New features not listed above</w:t>
            </w:r>
          </w:p>
        </w:tc>
        <w:tc>
          <w:tcPr>
            <w:tcW w:type="dxa" w:w="5953"/>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Separate quote / paid Phase 5</w:t>
            </w:r>
          </w:p>
        </w:tc>
      </w:tr>
      <w:tr>
        <w:tc>
          <w:tcPr>
            <w:tcW w:type="dxa" w:w="3685"/>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Scope change mid-phase</w:t>
            </w:r>
          </w:p>
        </w:tc>
        <w:tc>
          <w:tcPr>
            <w:tcW w:type="dxa" w:w="5953"/>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Timeline pauses; written change order + fee if effort grows</w:t>
            </w:r>
          </w:p>
        </w:tc>
      </w:tr>
    </w:tbl>
    <w:p>
      <w:pPr>
        <w:spacing w:after="160"/>
      </w:pPr>
    </w:p>
    <w:p>
      <w:pPr>
        <w:spacing w:after="160" w:before="0" w:line="276" w:lineRule="auto"/>
        <w:jc w:val="both"/>
      </w:pPr>
      <w:r>
        <w:rPr>
          <w:rFonts w:ascii="Calibri" w:hAnsi="Calibri" w:eastAsia="Calibri"/>
          <w:b w:val="0"/>
          <w:color w:val="4A4A4A"/>
          <w:sz w:val="22"/>
        </w:rPr>
        <w:t>Up to two (2) review rounds per phase during the 3-day approval window. Extra redesign rounds may shift the timeline or require a small add-on fee, agreed in writing.</w:t>
      </w:r>
    </w:p>
    <w:p>
      <w:pPr>
        <w:spacing w:after="160" w:before="280" w:line="276" w:lineRule="auto"/>
        <w:jc w:val="left"/>
      </w:pPr>
      <w:r>
        <w:rPr>
          <w:rFonts w:ascii="Calibri" w:hAnsi="Calibri" w:eastAsia="Calibri"/>
          <w:b/>
          <w:color w:val="1B6B3A"/>
          <w:sz w:val="28"/>
        </w:rPr>
        <w:t>9. Responsibilities</w:t>
      </w:r>
    </w:p>
    <w:p>
      <w:pPr>
        <w:spacing w:after="120" w:before="200" w:line="276" w:lineRule="auto"/>
        <w:jc w:val="left"/>
      </w:pPr>
      <w:r>
        <w:rPr>
          <w:rFonts w:ascii="Calibri" w:hAnsi="Calibri" w:eastAsia="Calibri"/>
          <w:b/>
          <w:color w:val="0F3D22"/>
          <w:sz w:val="24"/>
        </w:rPr>
        <w:t>Client</w:t>
      </w:r>
    </w:p>
    <w:p>
      <w:pPr>
        <w:pStyle w:val="ListBullet"/>
        <w:spacing w:after="60"/>
        <w:ind w:left="283"/>
      </w:pPr>
      <w:r>
        <w:rPr>
          <w:rFonts w:ascii="Calibri" w:hAnsi="Calibri" w:eastAsia="Calibri"/>
          <w:b w:val="0"/>
          <w:color w:val="4A4A4A"/>
          <w:sz w:val="21"/>
        </w:rPr>
        <w:t>Provide logo, brand colors (if different), contact info, fee %, and fine amount</w:t>
      </w:r>
    </w:p>
    <w:p>
      <w:pPr>
        <w:pStyle w:val="ListBullet"/>
        <w:spacing w:after="60"/>
        <w:ind w:left="283"/>
      </w:pPr>
      <w:r>
        <w:rPr>
          <w:rFonts w:ascii="Calibri" w:hAnsi="Calibri" w:eastAsia="Calibri"/>
          <w:b w:val="0"/>
          <w:color w:val="4A4A4A"/>
          <w:sz w:val="21"/>
        </w:rPr>
        <w:t>Approve and pay each phase on time</w:t>
      </w:r>
    </w:p>
    <w:p>
      <w:pPr>
        <w:pStyle w:val="ListBullet"/>
        <w:spacing w:after="60"/>
        <w:ind w:left="283"/>
      </w:pPr>
      <w:r>
        <w:rPr>
          <w:rFonts w:ascii="Calibri" w:hAnsi="Calibri" w:eastAsia="Calibri"/>
          <w:b w:val="0"/>
          <w:color w:val="4A4A4A"/>
          <w:sz w:val="21"/>
        </w:rPr>
        <w:t>Nominate one decision-maker for approvals</w:t>
      </w:r>
    </w:p>
    <w:p>
      <w:pPr>
        <w:pStyle w:val="ListBullet"/>
        <w:spacing w:after="60"/>
        <w:ind w:left="283"/>
      </w:pPr>
      <w:r>
        <w:rPr>
          <w:rFonts w:ascii="Calibri" w:hAnsi="Calibri" w:eastAsia="Calibri"/>
          <w:b w:val="0"/>
          <w:color w:val="4A4A4A"/>
          <w:sz w:val="21"/>
        </w:rPr>
        <w:t>Participate in Phase 4 UAT with sample data if possible</w:t>
      </w:r>
    </w:p>
    <w:p>
      <w:pPr>
        <w:pStyle w:val="ListBullet"/>
        <w:spacing w:after="60"/>
        <w:ind w:left="283"/>
      </w:pPr>
      <w:r>
        <w:rPr>
          <w:rFonts w:ascii="Calibri" w:hAnsi="Calibri" w:eastAsia="Calibri"/>
          <w:b w:val="0"/>
          <w:color w:val="4A4A4A"/>
          <w:sz w:val="21"/>
        </w:rPr>
        <w:t>Arrange domain DNS if using the client’s domain</w:t>
      </w:r>
    </w:p>
    <w:p>
      <w:pPr>
        <w:spacing w:after="120" w:before="200" w:line="276" w:lineRule="auto"/>
        <w:jc w:val="left"/>
      </w:pPr>
      <w:r>
        <w:rPr>
          <w:rFonts w:ascii="Calibri" w:hAnsi="Calibri" w:eastAsia="Calibri"/>
          <w:b/>
          <w:color w:val="0F3D22"/>
          <w:sz w:val="24"/>
        </w:rPr>
        <w:t>Developer</w:t>
      </w:r>
    </w:p>
    <w:p>
      <w:pPr>
        <w:pStyle w:val="ListBullet"/>
        <w:spacing w:after="60"/>
        <w:ind w:left="283"/>
      </w:pPr>
      <w:r>
        <w:rPr>
          <w:rFonts w:ascii="Calibri" w:hAnsi="Calibri" w:eastAsia="Calibri"/>
          <w:b w:val="0"/>
          <w:color w:val="4A4A4A"/>
          <w:sz w:val="21"/>
        </w:rPr>
        <w:t>Deliver each phase as listed in this document</w:t>
      </w:r>
    </w:p>
    <w:p>
      <w:pPr>
        <w:pStyle w:val="ListBullet"/>
        <w:spacing w:after="60"/>
        <w:ind w:left="283"/>
      </w:pPr>
      <w:r>
        <w:rPr>
          <w:rFonts w:ascii="Calibri" w:hAnsi="Calibri" w:eastAsia="Calibri"/>
          <w:b w:val="0"/>
          <w:color w:val="4A4A4A"/>
          <w:sz w:val="21"/>
        </w:rPr>
        <w:t>Keep a staging environment available for review</w:t>
      </w:r>
    </w:p>
    <w:p>
      <w:pPr>
        <w:pStyle w:val="ListBullet"/>
        <w:spacing w:after="60"/>
        <w:ind w:left="283"/>
      </w:pPr>
      <w:r>
        <w:rPr>
          <w:rFonts w:ascii="Calibri" w:hAnsi="Calibri" w:eastAsia="Calibri"/>
          <w:b w:val="0"/>
          <w:color w:val="4A4A4A"/>
          <w:sz w:val="21"/>
        </w:rPr>
        <w:t>Protect bid privacy (dealers never see other bidders via the interface or API)</w:t>
      </w:r>
    </w:p>
    <w:p>
      <w:pPr>
        <w:pStyle w:val="ListBullet"/>
        <w:spacing w:after="60"/>
        <w:ind w:left="283"/>
      </w:pPr>
      <w:r>
        <w:rPr>
          <w:rFonts w:ascii="Calibri" w:hAnsi="Calibri" w:eastAsia="Calibri"/>
          <w:b w:val="0"/>
          <w:color w:val="4A4A4A"/>
          <w:sz w:val="21"/>
        </w:rPr>
        <w:t>Hand over production access and short ops notes at Phase 4</w:t>
      </w:r>
    </w:p>
    <w:p>
      <w:pPr>
        <w:pStyle w:val="ListBullet"/>
        <w:spacing w:after="60"/>
        <w:ind w:left="283"/>
      </w:pPr>
      <w:r>
        <w:rPr>
          <w:rFonts w:ascii="Calibri" w:hAnsi="Calibri" w:eastAsia="Calibri"/>
          <w:b w:val="0"/>
          <w:color w:val="4A4A4A"/>
          <w:sz w:val="21"/>
        </w:rPr>
        <w:t>Keep the total fixed at PKR 150,000 for the scope in this document</w:t>
      </w:r>
    </w:p>
    <w:p>
      <w:pPr>
        <w:spacing w:after="160" w:before="280" w:line="276" w:lineRule="auto"/>
        <w:jc w:val="left"/>
      </w:pPr>
      <w:r>
        <w:rPr>
          <w:rFonts w:ascii="Calibri" w:hAnsi="Calibri" w:eastAsia="Calibri"/>
          <w:b/>
          <w:color w:val="1B6B3A"/>
          <w:sz w:val="28"/>
        </w:rPr>
        <w:t>10. Quick Reference — Approval &amp; Pay Cycle</w:t>
      </w:r>
    </w:p>
    <w:tbl>
      <w:tblPr>
        <w:tblW w:type="auto" w:w="0"/>
        <w:jc w:val="center"/>
        <w:tblLayout w:type="autofit"/>
        <w:tblLook w:firstColumn="1" w:firstRow="1" w:lastColumn="0" w:lastRow="0" w:noHBand="0" w:noVBand="1" w:val="04A0"/>
      </w:tblPr>
      <w:tblGrid>
        <w:gridCol w:w="3213"/>
        <w:gridCol w:w="3213"/>
        <w:gridCol w:w="3213"/>
      </w:tblGrid>
      <w:tr>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After Approving</w:t>
            </w:r>
          </w:p>
        </w:tc>
        <w:tc>
          <w:tcPr>
            <w:tcW w:type="dxa" w:w="3118"/>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Pay (PKR)</w:t>
            </w:r>
          </w:p>
        </w:tc>
        <w:tc>
          <w:tcPr>
            <w:tcW w:type="dxa" w:w="3402"/>
            <w:shd w:fill="1B6B3A" w:val="clear"/>
            <w:tcMar>
              <w:top w:w="60" w:type="dxa"/>
              <w:left w:w="80" w:type="dxa"/>
              <w:bottom w:w="60" w:type="dxa"/>
              <w:right w:w="80" w:type="dxa"/>
            </w:tcMar>
          </w:tcPr>
          <w:p>
            <w:pPr>
              <w:spacing w:before="80" w:after="80"/>
              <w:jc w:val="center"/>
            </w:pPr>
            <w:r>
              <w:rPr>
                <w:rFonts w:ascii="Calibri" w:hAnsi="Calibri" w:eastAsia="Calibri"/>
                <w:b/>
                <w:color w:val="FFFFFF"/>
                <w:sz w:val="20"/>
              </w:rPr>
              <w:t>Then Starts</w:t>
            </w:r>
          </w:p>
        </w:tc>
      </w:tr>
      <w:tr>
        <w:tc>
          <w:tcPr>
            <w:tcW w:type="dxa" w:w="3118"/>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Phase 1</w:t>
            </w:r>
          </w:p>
        </w:tc>
        <w:tc>
          <w:tcPr>
            <w:tcW w:type="dxa" w:w="3118"/>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40,000</w:t>
            </w:r>
          </w:p>
        </w:tc>
        <w:tc>
          <w:tcPr>
            <w:tcW w:type="dxa" w:w="3402"/>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Phase 2</w:t>
            </w:r>
          </w:p>
        </w:tc>
      </w:tr>
      <w:tr>
        <w:tc>
          <w:tcPr>
            <w:tcW w:type="dxa" w:w="3118"/>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Phase 2</w:t>
            </w:r>
          </w:p>
        </w:tc>
        <w:tc>
          <w:tcPr>
            <w:tcW w:type="dxa" w:w="3118"/>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40,000</w:t>
            </w:r>
          </w:p>
        </w:tc>
        <w:tc>
          <w:tcPr>
            <w:tcW w:type="dxa" w:w="3402"/>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Phase 3</w:t>
            </w:r>
          </w:p>
        </w:tc>
      </w:tr>
      <w:tr>
        <w:tc>
          <w:tcPr>
            <w:tcW w:type="dxa" w:w="3118"/>
            <w:shd w:fill="F3FAF5" w:val="clear"/>
            <w:tcMar>
              <w:top w:w="60" w:type="dxa"/>
              <w:left w:w="80" w:type="dxa"/>
              <w:bottom w:w="60" w:type="dxa"/>
              <w:right w:w="80" w:type="dxa"/>
            </w:tcMar>
          </w:tcPr>
          <w:p>
            <w:pPr>
              <w:spacing w:before="80" w:after="80"/>
              <w:jc w:val="left"/>
            </w:pPr>
            <w:r>
              <w:rPr>
                <w:rFonts w:ascii="Calibri" w:hAnsi="Calibri" w:eastAsia="Calibri"/>
                <w:b w:val="0"/>
                <w:color w:val="1A1A1A"/>
                <w:sz w:val="20"/>
              </w:rPr>
              <w:t>Phase 3</w:t>
            </w:r>
          </w:p>
        </w:tc>
        <w:tc>
          <w:tcPr>
            <w:tcW w:type="dxa" w:w="3118"/>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40,000</w:t>
            </w:r>
          </w:p>
        </w:tc>
        <w:tc>
          <w:tcPr>
            <w:tcW w:type="dxa" w:w="3402"/>
            <w:shd w:fill="F3FAF5" w:val="clear"/>
            <w:tcMar>
              <w:top w:w="60" w:type="dxa"/>
              <w:left w:w="80" w:type="dxa"/>
              <w:bottom w:w="60" w:type="dxa"/>
              <w:right w:w="80" w:type="dxa"/>
            </w:tcMar>
          </w:tcPr>
          <w:p>
            <w:pPr>
              <w:spacing w:before="80" w:after="80"/>
              <w:jc w:val="center"/>
            </w:pPr>
            <w:r>
              <w:rPr>
                <w:rFonts w:ascii="Calibri" w:hAnsi="Calibri" w:eastAsia="Calibri"/>
                <w:b w:val="0"/>
                <w:color w:val="1A1A1A"/>
                <w:sz w:val="20"/>
              </w:rPr>
              <w:t>Phase 4</w:t>
            </w:r>
          </w:p>
        </w:tc>
      </w:tr>
      <w:tr>
        <w:tc>
          <w:tcPr>
            <w:tcW w:type="dxa" w:w="3118"/>
            <w:shd w:fill="FFFFFF" w:val="clear"/>
            <w:tcMar>
              <w:top w:w="60" w:type="dxa"/>
              <w:left w:w="80" w:type="dxa"/>
              <w:bottom w:w="60" w:type="dxa"/>
              <w:right w:w="80" w:type="dxa"/>
            </w:tcMar>
          </w:tcPr>
          <w:p>
            <w:pPr>
              <w:spacing w:before="80" w:after="80"/>
              <w:jc w:val="left"/>
            </w:pPr>
            <w:r>
              <w:rPr>
                <w:rFonts w:ascii="Calibri" w:hAnsi="Calibri" w:eastAsia="Calibri"/>
                <w:b w:val="0"/>
                <w:color w:val="1A1A1A"/>
                <w:sz w:val="20"/>
              </w:rPr>
              <w:t>Phase 4</w:t>
            </w:r>
          </w:p>
        </w:tc>
        <w:tc>
          <w:tcPr>
            <w:tcW w:type="dxa" w:w="3118"/>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30,000</w:t>
            </w:r>
          </w:p>
        </w:tc>
        <w:tc>
          <w:tcPr>
            <w:tcW w:type="dxa" w:w="3402"/>
            <w:shd w:fill="FFFFFF" w:val="clear"/>
            <w:tcMar>
              <w:top w:w="60" w:type="dxa"/>
              <w:left w:w="80" w:type="dxa"/>
              <w:bottom w:w="60" w:type="dxa"/>
              <w:right w:w="80" w:type="dxa"/>
            </w:tcMar>
          </w:tcPr>
          <w:p>
            <w:pPr>
              <w:spacing w:before="80" w:after="80"/>
              <w:jc w:val="center"/>
            </w:pPr>
            <w:r>
              <w:rPr>
                <w:rFonts w:ascii="Calibri" w:hAnsi="Calibri" w:eastAsia="Calibri"/>
                <w:b w:val="0"/>
                <w:color w:val="1A1A1A"/>
                <w:sz w:val="20"/>
              </w:rPr>
              <w:t>Project closed (MVP)</w:t>
            </w:r>
          </w:p>
        </w:tc>
      </w:tr>
      <w:tr>
        <w:tc>
          <w:tcPr>
            <w:tcW w:type="dxa" w:w="3118"/>
            <w:shd w:fill="F3FAF5" w:val="clear"/>
            <w:tcMar>
              <w:top w:w="60" w:type="dxa"/>
              <w:left w:w="80" w:type="dxa"/>
              <w:bottom w:w="60" w:type="dxa"/>
              <w:right w:w="80" w:type="dxa"/>
            </w:tcMar>
          </w:tcPr>
          <w:p>
            <w:pPr>
              <w:spacing w:before="80" w:after="80"/>
              <w:jc w:val="left"/>
            </w:pPr>
            <w:r>
              <w:rPr>
                <w:rFonts w:ascii="Calibri" w:hAnsi="Calibri" w:eastAsia="Calibri"/>
                <w:b/>
                <w:color w:val="1A1A1A"/>
                <w:sz w:val="20"/>
              </w:rPr>
              <w:t>Grand Total</w:t>
            </w:r>
          </w:p>
        </w:tc>
        <w:tc>
          <w:tcPr>
            <w:tcW w:type="dxa" w:w="3118"/>
            <w:shd w:fill="F3FAF5" w:val="clear"/>
            <w:tcMar>
              <w:top w:w="60" w:type="dxa"/>
              <w:left w:w="80" w:type="dxa"/>
              <w:bottom w:w="60" w:type="dxa"/>
              <w:right w:w="80" w:type="dxa"/>
            </w:tcMar>
          </w:tcPr>
          <w:p>
            <w:pPr>
              <w:spacing w:before="80" w:after="80"/>
              <w:jc w:val="center"/>
            </w:pPr>
            <w:r>
              <w:rPr>
                <w:rFonts w:ascii="Calibri" w:hAnsi="Calibri" w:eastAsia="Calibri"/>
                <w:b/>
                <w:color w:val="1A1A1A"/>
                <w:sz w:val="20"/>
              </w:rPr>
              <w:t>150,000</w:t>
            </w:r>
          </w:p>
        </w:tc>
        <w:tc>
          <w:tcPr>
            <w:tcW w:type="dxa" w:w="3402"/>
            <w:shd w:fill="F3FAF5" w:val="clear"/>
            <w:tcMar>
              <w:top w:w="60" w:type="dxa"/>
              <w:left w:w="80" w:type="dxa"/>
              <w:bottom w:w="60" w:type="dxa"/>
              <w:right w:w="80" w:type="dxa"/>
            </w:tcMar>
          </w:tcPr>
          <w:p>
            <w:pPr>
              <w:spacing w:before="80" w:after="80"/>
              <w:jc w:val="center"/>
            </w:pPr>
            <w:r>
              <w:rPr>
                <w:rFonts w:ascii="Calibri" w:hAnsi="Calibri" w:eastAsia="Calibri"/>
                <w:b/>
                <w:color w:val="1A1A1A"/>
                <w:sz w:val="20"/>
              </w:rPr>
              <w:t>—</w:t>
            </w:r>
          </w:p>
        </w:tc>
      </w:tr>
    </w:tbl>
    <w:p>
      <w:pPr>
        <w:spacing w:after="160"/>
      </w:pPr>
    </w:p>
    <w:p>
      <w:pPr>
        <w:spacing w:after="160" w:before="280" w:line="276" w:lineRule="auto"/>
        <w:jc w:val="left"/>
      </w:pPr>
      <w:r>
        <w:rPr>
          <w:rFonts w:ascii="Calibri" w:hAnsi="Calibri" w:eastAsia="Calibri"/>
          <w:b/>
          <w:color w:val="1B6B3A"/>
          <w:sz w:val="28"/>
        </w:rPr>
        <w:t>11. Sign-Off</w:t>
      </w:r>
    </w:p>
    <w:p>
      <w:pPr>
        <w:spacing w:after="160" w:before="0" w:line="276" w:lineRule="auto"/>
        <w:jc w:val="both"/>
      </w:pPr>
      <w:r>
        <w:rPr>
          <w:rFonts w:ascii="Calibri" w:hAnsi="Calibri" w:eastAsia="Calibri"/>
          <w:b w:val="0"/>
          <w:color w:val="4A4A4A"/>
          <w:sz w:val="22"/>
        </w:rPr>
        <w:t>By signing below (or confirming by email/WhatsApp with this document attached), both parties agree to the phase scope, timeline rules, and payment schedule.</w:t>
      </w:r>
    </w:p>
    <w:tbl>
      <w:tblPr>
        <w:tblW w:type="auto" w:w="0"/>
        <w:jc w:val="center"/>
        <w:tblLook w:firstColumn="1" w:firstRow="1" w:lastColumn="0" w:lastRow="0" w:noHBand="0" w:noVBand="1" w:val="04A0"/>
      </w:tblPr>
      <w:tblGrid>
        <w:gridCol w:w="4819"/>
        <w:gridCol w:w="4819"/>
      </w:tblGrid>
      <w:tr>
        <w:tc>
          <w:tcPr>
            <w:tcW w:type="dxa" w:w="4819"/>
            <w:shd w:fill="1B6B3A" w:val="clear"/>
            <w:tcMar>
              <w:top w:w="60" w:type="dxa"/>
              <w:left w:w="80" w:type="dxa"/>
              <w:bottom w:w="60" w:type="dxa"/>
              <w:right w:w="80" w:type="dxa"/>
            </w:tcMar>
          </w:tcPr>
          <w:p>
            <w:pPr>
              <w:spacing w:before="80" w:after="80"/>
              <w:jc w:val="center"/>
            </w:pPr>
            <w:r>
              <w:rPr>
                <w:rFonts w:ascii="Calibri" w:hAnsi="Calibri" w:eastAsia="Calibri"/>
                <w:b/>
                <w:color w:val="FFFFFF"/>
                <w:sz w:val="22"/>
              </w:rPr>
              <w:t>Client</w:t>
            </w:r>
          </w:p>
        </w:tc>
        <w:tc>
          <w:tcPr>
            <w:tcW w:type="dxa" w:w="4819"/>
            <w:shd w:fill="1B6B3A" w:val="clear"/>
            <w:tcMar>
              <w:top w:w="60" w:type="dxa"/>
              <w:left w:w="80" w:type="dxa"/>
              <w:bottom w:w="60" w:type="dxa"/>
              <w:right w:w="80" w:type="dxa"/>
            </w:tcMar>
          </w:tcPr>
          <w:p>
            <w:pPr>
              <w:spacing w:before="80" w:after="80"/>
              <w:jc w:val="center"/>
            </w:pPr>
            <w:r>
              <w:rPr>
                <w:rFonts w:ascii="Calibri" w:hAnsi="Calibri" w:eastAsia="Calibri"/>
                <w:b/>
                <w:color w:val="FFFFFF"/>
                <w:sz w:val="22"/>
              </w:rPr>
              <w:t>Developer</w:t>
            </w:r>
          </w:p>
        </w:tc>
      </w:tr>
      <w:tr>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Name:</w:t>
              <w:br/>
              <w:br/>
            </w:r>
          </w:p>
        </w:tc>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Name:</w:t>
              <w:br/>
              <w:br/>
            </w:r>
          </w:p>
        </w:tc>
      </w:tr>
      <w:tr>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Signature / Confirmation:</w:t>
              <w:br/>
              <w:br/>
            </w:r>
          </w:p>
        </w:tc>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Signature / Confirmation:</w:t>
              <w:br/>
              <w:br/>
            </w:r>
          </w:p>
        </w:tc>
      </w:tr>
      <w:tr>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Date:</w:t>
              <w:br/>
              <w:br/>
            </w:r>
          </w:p>
        </w:tc>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Date:</w:t>
              <w:br/>
              <w:br/>
            </w:r>
          </w:p>
        </w:tc>
      </w:tr>
      <w:tr>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Contact:</w:t>
              <w:br/>
              <w:br/>
            </w:r>
          </w:p>
        </w:tc>
        <w:tc>
          <w:tcPr>
            <w:tcW w:type="dxa" w:w="4819"/>
            <w:shd w:fill="FFFFFF" w:val="clear"/>
            <w:tcMar>
              <w:top w:w="60" w:type="dxa"/>
              <w:left w:w="80" w:type="dxa"/>
              <w:bottom w:w="60" w:type="dxa"/>
              <w:right w:w="80" w:type="dxa"/>
            </w:tcMar>
          </w:tcPr>
          <w:p>
            <w:pPr>
              <w:spacing w:before="80" w:after="80"/>
              <w:jc w:val="left"/>
            </w:pPr>
            <w:r>
              <w:rPr>
                <w:rFonts w:ascii="Calibri" w:hAnsi="Calibri" w:eastAsia="Calibri"/>
                <w:b w:val="0"/>
                <w:color w:val="4A4A4A"/>
                <w:sz w:val="20"/>
              </w:rPr>
              <w:t>Contact:</w:t>
              <w:br/>
              <w:br/>
            </w:r>
          </w:p>
        </w:tc>
      </w:tr>
    </w:tbl>
    <w:p>
      <w:pPr>
        <w:spacing w:after="400" w:before="0" w:line="276" w:lineRule="auto"/>
        <w:jc w:val="left"/>
      </w:pPr>
    </w:p>
    <w:p>
      <w:pPr>
        <w:spacing w:after="120" w:before="320" w:line="276" w:lineRule="auto"/>
        <w:jc w:val="center"/>
      </w:pPr>
      <w:r>
        <w:rPr>
          <w:rFonts w:ascii="Calibri" w:hAnsi="Calibri" w:eastAsia="Calibri"/>
          <w:b w:val="0"/>
          <w:color w:val="4A4A4A"/>
          <w:sz w:val="18"/>
        </w:rPr>
        <w:t>— End of Document —</w:t>
      </w:r>
    </w:p>
    <w:p>
      <w:pPr>
        <w:spacing w:after="40" w:before="0" w:line="276" w:lineRule="auto"/>
        <w:jc w:val="center"/>
      </w:pPr>
      <w:r>
        <w:rPr>
          <w:rFonts w:ascii="Calibri" w:hAnsi="Calibri" w:eastAsia="Calibri"/>
          <w:b w:val="0"/>
          <w:color w:val="1B6B3A"/>
          <w:sz w:val="16"/>
        </w:rPr>
        <w:t>PRS Platform · 4-Phase Delivery Plan · Confidential</w:t>
      </w:r>
    </w:p>
    <w:p>
      <w:pPr>
        <w:spacing w:after="120" w:before="0" w:line="276" w:lineRule="auto"/>
        <w:jc w:val="center"/>
      </w:pPr>
      <w:r>
        <w:rPr>
          <w:rFonts w:ascii="Calibri" w:hAnsi="Calibri" w:eastAsia="Calibri"/>
          <w:b w:val="0"/>
          <w:color w:val="4A4A4A"/>
          <w:sz w:val="16"/>
        </w:rPr>
        <w:t>Aligned to System Concept Document (July 2026) — Year-1 Pakistan MVP only</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