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总则</w:t>
      </w:r>
    </w:p>
    <w:p>
      <w:pPr>
        <w:pStyle w:val="Heading2"/>
      </w:pPr>
      <w:r>
        <w:t>1.1 制定目的</w:t>
      </w:r>
    </w:p>
    <w:p>
      <w:pPr>
        <w:pStyle w:val="Heading3"/>
      </w:pPr>
      <w:r>
        <w:t>1.1.1 适用范围</w:t>
      </w:r>
    </w:p>
    <w:p>
      <w:pPr>
        <w:jc w:val="left"/>
      </w:pPr>
      <w:r>
        <w:t>本制度规定如下要点：</w:t>
      </w:r>
    </w:p>
    <w:p>
      <w:pPr>
        <w:pStyle w:val="Heading2"/>
      </w:pPr>
      <w:r>
        <w:t>无序列表</w:t>
      </w:r>
    </w:p>
    <w:p>
      <w:pPr>
        <w:pStyle w:val="ListBullet"/>
      </w:pPr>
      <w:r>
        <w:t>适用公司各部门</w:t>
      </w:r>
    </w:p>
    <w:p>
      <w:pPr>
        <w:pStyle w:val="ListBullet"/>
      </w:pPr>
      <w:r>
        <w:t>适用正式员工</w:t>
      </w:r>
    </w:p>
    <w:p>
      <w:pPr>
        <w:pStyle w:val="ListBullet"/>
      </w:pPr>
      <w:r>
        <w:t>适用外包人员须另签协议</w:t>
      </w:r>
    </w:p>
    <w:p>
      <w:pPr>
        <w:pStyle w:val="Heading2"/>
      </w:pPr>
      <w:r>
        <w:t>有序列表</w:t>
      </w:r>
    </w:p>
    <w:p>
      <w:pPr>
        <w:pStyle w:val="ListNumber"/>
      </w:pPr>
      <w:r>
        <w:t>提交申请</w:t>
      </w:r>
    </w:p>
    <w:p>
      <w:pPr>
        <w:pStyle w:val="ListNumber"/>
      </w:pPr>
      <w:r>
        <w:t>部门审批</w:t>
      </w:r>
    </w:p>
    <w:p>
      <w:pPr>
        <w:pStyle w:val="ListNumber"/>
      </w:pPr>
      <w:r>
        <w:t>归档备案</w:t>
      </w:r>
    </w:p>
    <w:p>
      <w:pPr>
        <w:pStyle w:val="Heading2"/>
      </w:pPr>
      <w:r>
        <w:t>标准表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住宿</w:t>
            </w:r>
          </w:p>
        </w:tc>
        <w:tc>
          <w:tcPr>
            <w:tcW w:type="dxa" w:w="2880"/>
          </w:tcPr>
          <w:p>
            <w:r>
              <w:t>500 元/天</w:t>
            </w:r>
          </w:p>
        </w:tc>
        <w:tc>
          <w:tcPr>
            <w:tcW w:type="dxa" w:w="2880"/>
          </w:tcPr>
          <w:p>
            <w:r>
              <w:t>一线城市</w:t>
            </w:r>
          </w:p>
        </w:tc>
      </w:tr>
      <w:tr>
        <w:tc>
          <w:tcPr>
            <w:tcW w:type="dxa" w:w="2880"/>
          </w:tcPr>
          <w:p>
            <w:r>
              <w:t>交通</w:t>
            </w:r>
          </w:p>
        </w:tc>
        <w:tc>
          <w:tcPr>
            <w:tcW w:type="dxa" w:w="2880"/>
          </w:tcPr>
          <w:p>
            <w:r>
              <w:t>实报实销</w:t>
            </w:r>
          </w:p>
        </w:tc>
        <w:tc>
          <w:tcPr>
            <w:tcW w:type="dxa" w:w="2880"/>
          </w:tcPr>
          <w:p>
            <w:r>
              <w:t>需票据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