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'1.0' encoding='UTF-8' standalone='yes'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<w:body><w:p><w:pPr><w:pStyle w:val="Heading1"/></w:pPr><w:r><w:t>第一章 总则</w:t></w:r></w:p><w:p><w:pPr><w:pStyle w:val="Heading2"/></w:pPr><w:r><w:t>1.1 制定目的</w:t></w:r></w:p><w:p><w:pPr><w:pStyle w:val="Heading3"/></w:pPr><w:r><w:t>1.1.1 适用范围</w:t></w:r></w:p><w:p><w:pPr><w:jc w:val="left"/></w:pPr><w:r><w:t>本制度规定如下要点：</w:t></w:r></w:p><w:p><w:pPr><w:pStyle w:val="Heading2"/></w:pPr><w:r><w:t>无序列表</w:t></w:r></w:p><w:p><w:pPr><w:pStyle w:val="ListBullet"/></w:pPr><w:r><w:t>适用公司各部门</w:t></w:r></w:p><w:p><w:pPr><w:pStyle w:val="ListBullet"/></w:pPr><w:r><w:t>适用正式员工</w:t></w:r></w:p><w:p><w:pPr><w:pStyle w:val="ListBullet"/></w:pPr><w:r><w:t>适用外包人员须另签协议</w:t></w:r></w:p><w:p><w:pPr><w:pStyle w:val="Heading2"/></w:pPr><w:r><w:t>有序列表</w:t></w:r></w:p><w:p><w:pPr><w:pStyle w:val="ListNumber"/></w:pPr><w:r><w:t>提交申请</w:t></w:r></w:p><w:p><w:pPr><w:pStyle w: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