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C373B" w14:textId="77777777" w:rsidR="00496DAC" w:rsidRPr="009A477A" w:rsidRDefault="001026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Overall </w:t>
      </w:r>
      <w:proofErr w:type="spellStart"/>
      <w:r>
        <w:rPr>
          <w:rFonts w:ascii="Times New Roman" w:hAnsi="Times New Roman" w:cs="Times New Roman"/>
        </w:rPr>
        <w:t>Summery</w:t>
      </w:r>
      <w:proofErr w:type="spellEnd"/>
      <w:r w:rsidR="006F5BF9" w:rsidRPr="009A477A">
        <w:rPr>
          <w:rFonts w:ascii="Times New Roman" w:hAnsi="Times New Roman" w:cs="Times New Roman"/>
        </w:rPr>
        <w:t>:</w:t>
      </w:r>
    </w:p>
    <w:p w14:paraId="67DFD93A" w14:textId="77777777" w:rsidR="006F5BF9" w:rsidRPr="009A477A" w:rsidRDefault="006F5BF9">
      <w:pPr>
        <w:rPr>
          <w:rFonts w:ascii="Times New Roman" w:hAnsi="Times New Roman" w:cs="Times New Roman"/>
        </w:rPr>
      </w:pPr>
      <w:r w:rsidRPr="009A477A">
        <w:rPr>
          <w:rFonts w:ascii="Times New Roman" w:hAnsi="Times New Roman" w:cs="Times New Roman"/>
        </w:rPr>
        <w:tab/>
        <w:t>In the modern theory of electromagnetism, a topological theory can be expressed in terms of an exterior differential system of two postulates:</w:t>
      </w:r>
    </w:p>
    <w:p w14:paraId="119D7D96" w14:textId="77777777" w:rsidR="006F5BF9" w:rsidRPr="009A477A" w:rsidRDefault="006F5BF9" w:rsidP="006F5BF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9A477A">
        <w:rPr>
          <w:rFonts w:ascii="Times New Roman" w:hAnsi="Times New Roman" w:cs="Times New Roman"/>
        </w:rPr>
        <w:t xml:space="preserve">Flux is Conserved: </w:t>
      </w:r>
      <m:oMath>
        <m:r>
          <w:rPr>
            <w:rFonts w:ascii="Cambria Math" w:hAnsi="Cambria Math" w:cs="Times New Roman"/>
          </w:rPr>
          <m:t>F-dA=0</m:t>
        </m:r>
      </m:oMath>
    </w:p>
    <w:p w14:paraId="61E78C1A" w14:textId="77777777" w:rsidR="006F5BF9" w:rsidRPr="009A477A" w:rsidRDefault="006F5BF9" w:rsidP="006F5BF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9A477A">
        <w:rPr>
          <w:rFonts w:ascii="Times New Roman" w:hAnsi="Times New Roman" w:cs="Times New Roman"/>
        </w:rPr>
        <w:t xml:space="preserve">Currents are conserved: </w:t>
      </w:r>
      <m:oMath>
        <m:r>
          <w:rPr>
            <w:rFonts w:ascii="Cambria Math" w:hAnsi="Cambria Math" w:cs="Times New Roman"/>
          </w:rPr>
          <m:t>J-dG=0</m:t>
        </m:r>
      </m:oMath>
    </w:p>
    <w:p w14:paraId="0AF6AC85" w14:textId="77777777" w:rsidR="006F5BF9" w:rsidRPr="009A477A" w:rsidRDefault="006F5BF9" w:rsidP="006F5BF9">
      <w:pPr>
        <w:rPr>
          <w:rFonts w:ascii="Times New Roman" w:hAnsi="Times New Roman" w:cs="Times New Roman"/>
        </w:rPr>
      </w:pPr>
      <w:r w:rsidRPr="009A477A">
        <w:rPr>
          <w:rFonts w:ascii="Times New Roman" w:hAnsi="Times New Roman" w:cs="Times New Roman"/>
        </w:rPr>
        <w:t xml:space="preserve">The thermodynamic field “intensities” </w:t>
      </w:r>
      <m:oMath>
        <m:r>
          <w:rPr>
            <w:rFonts w:ascii="Cambria Math" w:hAnsi="Cambria Math" w:cs="Times New Roman"/>
          </w:rPr>
          <m:t>F(E,B)</m:t>
        </m:r>
      </m:oMath>
      <w:r w:rsidRPr="009A477A">
        <w:rPr>
          <w:rFonts w:ascii="Times New Roman" w:hAnsi="Times New Roman" w:cs="Times New Roman"/>
        </w:rPr>
        <w:t xml:space="preserve"> </w:t>
      </w:r>
      <w:r w:rsidR="00EB524A" w:rsidRPr="009A477A">
        <w:rPr>
          <w:rFonts w:ascii="Times New Roman" w:hAnsi="Times New Roman" w:cs="Times New Roman"/>
        </w:rPr>
        <w:t>is defined of inexact 1-form potentials A. The exact 3-form current density J is defined by 2-form density of thermodynamic field quantities G(</w:t>
      </w:r>
      <w:proofErr w:type="gramStart"/>
      <w:r w:rsidR="00EB524A" w:rsidRPr="009A477A">
        <w:rPr>
          <w:rFonts w:ascii="Times New Roman" w:hAnsi="Times New Roman" w:cs="Times New Roman"/>
        </w:rPr>
        <w:t>D,H</w:t>
      </w:r>
      <w:proofErr w:type="gramEnd"/>
      <w:r w:rsidR="00EB524A" w:rsidRPr="009A477A">
        <w:rPr>
          <w:rFonts w:ascii="Times New Roman" w:hAnsi="Times New Roman" w:cs="Times New Roman"/>
        </w:rPr>
        <w:t xml:space="preserve">). The two form </w:t>
      </w:r>
      <m:oMath>
        <m:r>
          <w:rPr>
            <w:rFonts w:ascii="Cambria Math" w:hAnsi="Cambria Math" w:cs="Times New Roman"/>
          </w:rPr>
          <m:t>F</m:t>
        </m:r>
      </m:oMath>
      <w:r w:rsidR="00EB524A" w:rsidRPr="009A477A">
        <w:rPr>
          <w:rFonts w:ascii="Times New Roman" w:hAnsi="Times New Roman" w:cs="Times New Roman"/>
        </w:rPr>
        <w:t xml:space="preserve"> is associated with forces and the 2-form density G associated with sources. From these postulates you can roughly deduce two of the classical PDE’s:</w:t>
      </w:r>
    </w:p>
    <w:p w14:paraId="34453373" w14:textId="77777777" w:rsidR="00EB524A" w:rsidRPr="009A477A" w:rsidRDefault="00EB524A" w:rsidP="00EB524A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∇</m:t>
        </m:r>
        <m:r>
          <w:rPr>
            <w:rFonts w:ascii="Cambria Math" w:hAnsi="Cambria Math" w:cs="Times New Roman"/>
          </w:rPr>
          <m:t xml:space="preserve"> × E+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∂B</m:t>
            </m:r>
          </m:num>
          <m:den>
            <m:r>
              <w:rPr>
                <w:rFonts w:ascii="Cambria Math" w:hAnsi="Cambria Math" w:cs="Times New Roman"/>
              </w:rPr>
              <m:t>∂t</m:t>
            </m:r>
          </m:den>
        </m:f>
      </m:oMath>
      <w:r w:rsidRPr="009A477A">
        <w:rPr>
          <w:rFonts w:ascii="Times New Roman" w:hAnsi="Times New Roman" w:cs="Times New Roman"/>
        </w:rPr>
        <w:t xml:space="preserve">  = 0</w:t>
      </w:r>
    </w:p>
    <w:p w14:paraId="5DD3810B" w14:textId="77777777" w:rsidR="00EB524A" w:rsidRPr="009A477A" w:rsidRDefault="00EB524A" w:rsidP="00EB524A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∇</m:t>
        </m:r>
        <m:r>
          <w:rPr>
            <w:rFonts w:ascii="Cambria Math" w:hAnsi="Cambria Math" w:cs="Times New Roman"/>
          </w:rPr>
          <m:t xml:space="preserve"> × H+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∂D</m:t>
            </m:r>
          </m:num>
          <m:den>
            <m:r>
              <w:rPr>
                <w:rFonts w:ascii="Cambria Math" w:hAnsi="Cambria Math" w:cs="Times New Roman"/>
              </w:rPr>
              <m:t>∂t</m:t>
            </m:r>
          </m:den>
        </m:f>
      </m:oMath>
      <w:r w:rsidRPr="009A477A">
        <w:rPr>
          <w:rFonts w:ascii="Times New Roman" w:hAnsi="Times New Roman" w:cs="Times New Roman"/>
        </w:rPr>
        <w:t xml:space="preserve">  = J</w:t>
      </w:r>
    </w:p>
    <w:p w14:paraId="160A5AAA" w14:textId="77777777" w:rsidR="00EB524A" w:rsidRPr="009A477A" w:rsidRDefault="00EB524A" w:rsidP="00460A51">
      <w:pPr>
        <w:rPr>
          <w:rFonts w:ascii="Times New Roman" w:hAnsi="Times New Roman" w:cs="Times New Roman"/>
        </w:rPr>
      </w:pPr>
      <w:r w:rsidRPr="009A477A">
        <w:rPr>
          <w:rFonts w:ascii="Times New Roman" w:hAnsi="Times New Roman" w:cs="Times New Roman"/>
        </w:rPr>
        <w:t xml:space="preserve">The “modern” and “classical” electromagnetic theory have the same base of PDE’s. </w:t>
      </w:r>
      <w:r w:rsidR="00460A51" w:rsidRPr="009A477A">
        <w:rPr>
          <w:rFonts w:ascii="Times New Roman" w:hAnsi="Times New Roman" w:cs="Times New Roman"/>
        </w:rPr>
        <w:t xml:space="preserve">The differences are due to the equations two thermodynamic categories that are topologically distinct. The 1-form of potentials can have non-unique but topologically closed components,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460A51" w:rsidRPr="009A477A">
        <w:rPr>
          <w:rFonts w:ascii="Times New Roman" w:hAnsi="Times New Roman" w:cs="Times New Roman"/>
        </w:rPr>
        <w:t xml:space="preserve">. That do not contribute to the 2-form of intensities F, as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 xml:space="preserve"> →0</m:t>
        </m:r>
      </m:oMath>
      <w:r w:rsidR="00460A51" w:rsidRPr="009A477A">
        <w:rPr>
          <w:rFonts w:ascii="Times New Roman" w:hAnsi="Times New Roman" w:cs="Times New Roman"/>
        </w:rPr>
        <w:t xml:space="preserve">. </w:t>
      </w:r>
      <w:r w:rsidR="004A1145" w:rsidRPr="009A477A">
        <w:rPr>
          <w:rFonts w:ascii="Times New Roman" w:hAnsi="Times New Roman" w:cs="Times New Roman"/>
        </w:rPr>
        <w:t>Similarly,</w:t>
      </w:r>
      <w:r w:rsidR="00460A51" w:rsidRPr="009A477A">
        <w:rPr>
          <w:rFonts w:ascii="Times New Roman" w:hAnsi="Times New Roman" w:cs="Times New Roman"/>
        </w:rPr>
        <w:t xml:space="preserve"> the 2-form density of excitations can have n0n-unique but closed components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460A51" w:rsidRPr="009A477A">
        <w:rPr>
          <w:rFonts w:ascii="Times New Roman" w:hAnsi="Times New Roman" w:cs="Times New Roman"/>
        </w:rPr>
        <w:t>, which don’t contribute to 3-form density of currents J as d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→0</m:t>
        </m:r>
      </m:oMath>
      <w:r w:rsidR="00460A51" w:rsidRPr="009A477A">
        <w:rPr>
          <w:rFonts w:ascii="Times New Roman" w:hAnsi="Times New Roman" w:cs="Times New Roman"/>
        </w:rPr>
        <w:t>.</w:t>
      </w:r>
      <w:r w:rsidR="004A1145" w:rsidRPr="009A477A">
        <w:rPr>
          <w:rFonts w:ascii="Times New Roman" w:hAnsi="Times New Roman" w:cs="Times New Roman"/>
        </w:rPr>
        <w:t xml:space="preserve"> The non- uniqueness can appear as discontinuities in solution amplitude or as multi-values as envelope solutions. </w:t>
      </w:r>
    </w:p>
    <w:p w14:paraId="2644F32B" w14:textId="77777777" w:rsidR="004A1145" w:rsidRPr="009A477A" w:rsidRDefault="004A1145" w:rsidP="004A1145">
      <w:pPr>
        <w:rPr>
          <w:rFonts w:ascii="Times New Roman" w:hAnsi="Times New Roman" w:cs="Times New Roman"/>
        </w:rPr>
      </w:pPr>
      <w:r w:rsidRPr="009A477A">
        <w:rPr>
          <w:rFonts w:ascii="Times New Roman" w:hAnsi="Times New Roman" w:cs="Times New Roman"/>
        </w:rPr>
        <w:tab/>
        <w:t xml:space="preserve">A topological perspective of E&amp;M demonstrates that the Maxwell’s electromagnetic theory </w:t>
      </w:r>
      <w:r w:rsidR="009A477A" w:rsidRPr="009A477A">
        <w:rPr>
          <w:rFonts w:ascii="Times New Roman" w:hAnsi="Times New Roman" w:cs="Times New Roman"/>
        </w:rPr>
        <w:t>is universal</w:t>
      </w:r>
      <w:r w:rsidRPr="009A477A">
        <w:rPr>
          <w:rFonts w:ascii="Times New Roman" w:hAnsi="Times New Roman" w:cs="Times New Roman"/>
        </w:rPr>
        <w:t xml:space="preserve"> and goes beyond theory’s that impose geometric constraints. The topological perspective leads to quantum-like struct</w:t>
      </w:r>
      <w:r w:rsidR="009A477A" w:rsidRPr="009A477A">
        <w:rPr>
          <w:rFonts w:ascii="Times New Roman" w:hAnsi="Times New Roman" w:cs="Times New Roman"/>
        </w:rPr>
        <w:t>ures</w:t>
      </w:r>
      <w:r w:rsidRPr="009A477A">
        <w:rPr>
          <w:rFonts w:ascii="Times New Roman" w:hAnsi="Times New Roman" w:cs="Times New Roman"/>
        </w:rPr>
        <w:t xml:space="preserve"> and topological </w:t>
      </w:r>
      <w:r w:rsidR="009A477A" w:rsidRPr="009A477A">
        <w:rPr>
          <w:rFonts w:ascii="Times New Roman" w:hAnsi="Times New Roman" w:cs="Times New Roman"/>
        </w:rPr>
        <w:t>defects such as charge quantum without the imposition of quantum mechanics.</w:t>
      </w:r>
    </w:p>
    <w:p w14:paraId="3E317012" w14:textId="77777777" w:rsidR="009A477A" w:rsidRPr="009A477A" w:rsidRDefault="009A477A" w:rsidP="00B42485">
      <w:pPr>
        <w:ind w:firstLine="720"/>
        <w:rPr>
          <w:rFonts w:ascii="Times New Roman" w:eastAsia="Times New Roman" w:hAnsi="Times New Roman" w:cs="Times New Roman"/>
        </w:rPr>
      </w:pPr>
      <w:r w:rsidRPr="009A477A">
        <w:rPr>
          <w:rFonts w:ascii="Times New Roman" w:eastAsia="Times New Roman" w:hAnsi="Times New Roman" w:cs="Times New Roman"/>
        </w:rPr>
        <w:t xml:space="preserve">In conventional electrodynamics when we use a potential 1-form A for F as the fundamental object the usual considerations of wanting the field theory to be invariant under local </w:t>
      </w:r>
      <w:proofErr w:type="gramStart"/>
      <w:r w:rsidRPr="009A477A">
        <w:rPr>
          <w:rFonts w:ascii="Times New Roman" w:eastAsia="Times New Roman" w:hAnsi="Times New Roman" w:cs="Times New Roman"/>
        </w:rPr>
        <w:t>U(</w:t>
      </w:r>
      <w:proofErr w:type="gramEnd"/>
      <w:r w:rsidRPr="009A477A">
        <w:rPr>
          <w:rFonts w:ascii="Times New Roman" w:eastAsia="Times New Roman" w:hAnsi="Times New Roman" w:cs="Times New Roman"/>
        </w:rPr>
        <w:t>1) gauge changes dictate that A must define a U(1) connection 1-form. However,</w:t>
      </w:r>
      <w:r w:rsidR="00B42485">
        <w:rPr>
          <w:rFonts w:ascii="Times New Roman" w:eastAsia="Times New Roman" w:hAnsi="Times New Roman" w:cs="Times New Roman"/>
        </w:rPr>
        <w:t xml:space="preserve"> </w:t>
      </w:r>
      <w:r w:rsidRPr="009A477A">
        <w:rPr>
          <w:rFonts w:ascii="Times New Roman" w:eastAsia="Times New Roman" w:hAnsi="Times New Roman" w:cs="Times New Roman"/>
        </w:rPr>
        <w:t>the group that plays the fundamental role in topological electromagnetism seems to be SL(4), not SO(2). Reduction from SL(M) to SO(3,</w:t>
      </w:r>
      <w:proofErr w:type="gramStart"/>
      <w:r w:rsidRPr="009A477A">
        <w:rPr>
          <w:rFonts w:ascii="Times New Roman" w:eastAsia="Times New Roman" w:hAnsi="Times New Roman" w:cs="Times New Roman"/>
        </w:rPr>
        <w:t>1)(</w:t>
      </w:r>
      <w:proofErr w:type="gramEnd"/>
      <w:r w:rsidRPr="009A477A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)</w:t>
      </w:r>
      <w:r w:rsidRPr="009A477A">
        <w:rPr>
          <w:rFonts w:ascii="Times New Roman" w:eastAsia="Times New Roman" w:hAnsi="Times New Roman" w:cs="Times New Roman"/>
        </w:rPr>
        <w:t xml:space="preserve"> is an essential step from the standpoint of introducing gravitation into the model, or deducing gravitation from </w:t>
      </w:r>
      <w:r>
        <w:rPr>
          <w:rFonts w:ascii="Times New Roman" w:eastAsia="Times New Roman" w:hAnsi="Times New Roman" w:cs="Times New Roman"/>
        </w:rPr>
        <w:t>it</w:t>
      </w:r>
      <w:r w:rsidRPr="009A477A">
        <w:rPr>
          <w:rFonts w:ascii="Times New Roman" w:eastAsia="Times New Roman" w:hAnsi="Times New Roman" w:cs="Times New Roman"/>
        </w:rPr>
        <w:t>.</w:t>
      </w:r>
      <w:r w:rsidR="00B42485">
        <w:rPr>
          <w:rFonts w:ascii="Times New Roman" w:eastAsia="Times New Roman" w:hAnsi="Times New Roman" w:cs="Times New Roman"/>
        </w:rPr>
        <w:t xml:space="preserve"> The use of a</w:t>
      </w:r>
      <w:r w:rsidRPr="009A477A">
        <w:rPr>
          <w:rFonts w:ascii="Times New Roman" w:eastAsia="Times New Roman" w:hAnsi="Times New Roman" w:cs="Times New Roman"/>
        </w:rPr>
        <w:t xml:space="preserve"> constitutive law </w:t>
      </w:r>
      <w:r w:rsidR="00B42485">
        <w:rPr>
          <w:rFonts w:ascii="Times New Roman" w:eastAsia="Times New Roman" w:hAnsi="Times New Roman" w:cs="Times New Roman"/>
        </w:rPr>
        <w:t xml:space="preserve">can </w:t>
      </w:r>
      <w:r w:rsidRPr="009A477A">
        <w:rPr>
          <w:rFonts w:ascii="Times New Roman" w:eastAsia="Times New Roman" w:hAnsi="Times New Roman" w:cs="Times New Roman"/>
        </w:rPr>
        <w:t>give a simple and direct route for effecting the reduction from SL(M) to SO(3,</w:t>
      </w:r>
      <w:proofErr w:type="gramStart"/>
      <w:r w:rsidRPr="009A477A">
        <w:rPr>
          <w:rFonts w:ascii="Times New Roman" w:eastAsia="Times New Roman" w:hAnsi="Times New Roman" w:cs="Times New Roman"/>
        </w:rPr>
        <w:t>1)(</w:t>
      </w:r>
      <w:proofErr w:type="gramEnd"/>
      <w:r w:rsidRPr="009A477A">
        <w:rPr>
          <w:rFonts w:ascii="Times New Roman" w:eastAsia="Times New Roman" w:hAnsi="Times New Roman" w:cs="Times New Roman"/>
        </w:rPr>
        <w:t>M)</w:t>
      </w:r>
      <w:r w:rsidR="00B42485">
        <w:rPr>
          <w:rFonts w:ascii="Times New Roman" w:eastAsia="Times New Roman" w:hAnsi="Times New Roman" w:cs="Times New Roman"/>
        </w:rPr>
        <w:t xml:space="preserve">. </w:t>
      </w:r>
      <w:proofErr w:type="gramStart"/>
      <w:r w:rsidR="00B42485">
        <w:rPr>
          <w:rFonts w:ascii="Times New Roman" w:eastAsia="Times New Roman" w:hAnsi="Times New Roman" w:cs="Times New Roman"/>
        </w:rPr>
        <w:t>However</w:t>
      </w:r>
      <w:proofErr w:type="gramEnd"/>
      <w:r w:rsidR="00B42485">
        <w:rPr>
          <w:rFonts w:ascii="Times New Roman" w:eastAsia="Times New Roman" w:hAnsi="Times New Roman" w:cs="Times New Roman"/>
        </w:rPr>
        <w:t xml:space="preserve"> </w:t>
      </w:r>
      <w:r w:rsidRPr="009A477A">
        <w:rPr>
          <w:rFonts w:ascii="Times New Roman" w:eastAsia="Times New Roman" w:hAnsi="Times New Roman" w:cs="Times New Roman"/>
        </w:rPr>
        <w:t>it lacks an immediate topological construction. This either suggests that one cannot find a completely topological formulation for electromagnetism and must eventually resort to geometrical axioms or that we need to look for a more topological basis for the constitutive law.</w:t>
      </w:r>
    </w:p>
    <w:p w14:paraId="09A525E7" w14:textId="77777777" w:rsidR="009A477A" w:rsidRDefault="009A477A" w:rsidP="004A1145">
      <w:pPr>
        <w:rPr>
          <w:rFonts w:ascii="Times New Roman" w:eastAsia="Times New Roman" w:hAnsi="Times New Roman" w:cs="Times New Roman"/>
        </w:rPr>
      </w:pPr>
    </w:p>
    <w:p w14:paraId="1FABCDB6" w14:textId="77777777" w:rsidR="00102686" w:rsidRDefault="00806BC8" w:rsidP="004A114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a Gauge:</w:t>
      </w:r>
    </w:p>
    <w:p w14:paraId="1CFF7AD6" w14:textId="77777777" w:rsidR="00806BC8" w:rsidRDefault="00806BC8" w:rsidP="004A114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1918 Weyl treated Einstein’s general theory of relativity as if the Lorentz symmetry was a n example of global symmetry only mapped to local coordinates ad definable. </w:t>
      </w:r>
      <w:proofErr w:type="gramStart"/>
      <w:r>
        <w:rPr>
          <w:rFonts w:ascii="Times New Roman" w:eastAsia="Times New Roman" w:hAnsi="Times New Roman" w:cs="Times New Roman"/>
        </w:rPr>
        <w:t>So</w:t>
      </w:r>
      <w:proofErr w:type="gramEnd"/>
      <w:r>
        <w:rPr>
          <w:rFonts w:ascii="Times New Roman" w:eastAsia="Times New Roman" w:hAnsi="Times New Roman" w:cs="Times New Roman"/>
        </w:rPr>
        <w:t xml:space="preserve"> the magnitude of a vector is not a absolute quantity but depends on its space-time position or gauge invariance.:</w:t>
      </w:r>
    </w:p>
    <w:p w14:paraId="101834AB" w14:textId="77777777" w:rsidR="00806BC8" w:rsidRPr="00806BC8" w:rsidRDefault="00806BC8" w:rsidP="00806BC8">
      <w:pPr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x+dx</m:t>
              </m:r>
            </m:e>
          </m:d>
          <m:r>
            <w:rPr>
              <w:rFonts w:ascii="Cambria Math" w:eastAsia="Times New Roman" w:hAnsi="Cambria Math" w:cs="Times New Roman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∂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μ</m:t>
              </m:r>
            </m:sub>
          </m:sSub>
          <m:r>
            <w:rPr>
              <w:rFonts w:ascii="Cambria Math" w:eastAsia="Times New Roman" w:hAnsi="Cambria Math" w:cs="Times New Roman"/>
            </w:rPr>
            <m:t>fd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μ</m:t>
              </m:r>
            </m:sup>
          </m:sSup>
        </m:oMath>
      </m:oMathPara>
    </w:p>
    <w:p w14:paraId="0BA93E32" w14:textId="77777777" w:rsidR="00806BC8" w:rsidRDefault="00806BC8" w:rsidP="00806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a gauge change is introduced by a multiplicative scaling factor S(x) with equals unity at x</w:t>
      </w:r>
      <w:r w:rsidR="00E874BF">
        <w:rPr>
          <w:rFonts w:ascii="Times New Roman" w:eastAsia="Times New Roman" w:hAnsi="Times New Roman" w:cs="Times New Roman"/>
        </w:rPr>
        <w:t>:</w:t>
      </w:r>
    </w:p>
    <w:p w14:paraId="76C3AEDF" w14:textId="77777777" w:rsidR="00E874BF" w:rsidRPr="00E874BF" w:rsidRDefault="00E874BF" w:rsidP="00E874BF">
      <w:pPr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x+dx</m:t>
              </m:r>
            </m:e>
          </m:d>
          <m:r>
            <w:rPr>
              <w:rFonts w:ascii="Cambria Math" w:eastAsia="Times New Roman" w:hAnsi="Cambria Math" w:cs="Times New Roman"/>
            </w:rPr>
            <m:t xml:space="preserve">=1+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∂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μ</m:t>
              </m:r>
            </m:sub>
          </m:sSub>
          <m:r>
            <w:rPr>
              <w:rFonts w:ascii="Cambria Math" w:eastAsia="Times New Roman" w:hAnsi="Cambria Math" w:cs="Times New Roman"/>
            </w:rPr>
            <m:t>Sd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μ</m:t>
              </m:r>
            </m:sup>
          </m:sSup>
        </m:oMath>
      </m:oMathPara>
    </w:p>
    <w:p w14:paraId="4C188F61" w14:textId="77777777" w:rsidR="00E874BF" w:rsidRDefault="00E874BF" w:rsidP="00E874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a vector is constant under location change, then</w:t>
      </w:r>
    </w:p>
    <w:p w14:paraId="65416B81" w14:textId="77777777" w:rsidR="00E874BF" w:rsidRPr="00E874BF" w:rsidRDefault="00E874BF" w:rsidP="00E874BF">
      <w:pPr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Sf=f 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∂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μ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</w:rPr>
            <m:t>fd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μ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∂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μ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f</m:t>
              </m:r>
            </m:e>
          </m:d>
          <m:r>
            <w:rPr>
              <w:rFonts w:ascii="Cambria Math" w:eastAsia="Times New Roman" w:hAnsi="Cambria Math" w:cs="Times New Roman"/>
            </w:rPr>
            <m:t>d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μ</m:t>
              </m:r>
            </m:sup>
          </m:sSup>
        </m:oMath>
      </m:oMathPara>
    </w:p>
    <w:p w14:paraId="19C629F4" w14:textId="77777777" w:rsidR="00E874BF" w:rsidRDefault="00E874BF" w:rsidP="00E874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Upon moving the magnitude changes by the amount</w:t>
      </w:r>
    </w:p>
    <w:p w14:paraId="6244334E" w14:textId="77777777" w:rsidR="00E874BF" w:rsidRPr="00E874BF" w:rsidRDefault="00C63B26" w:rsidP="00E874BF">
      <w:pPr>
        <w:jc w:val="center"/>
        <w:rPr>
          <w:rFonts w:ascii="Times New Roman" w:eastAsia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∂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μ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∂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μ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</w:rPr>
            <m:t>fd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μ</m:t>
              </m:r>
            </m:sup>
          </m:sSup>
        </m:oMath>
      </m:oMathPara>
    </w:p>
    <w:p w14:paraId="6D7123FB" w14:textId="72D82ED0" w:rsidR="00E874BF" w:rsidRDefault="00E874BF" w:rsidP="00E874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Weyl identified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∂</m:t>
            </m:r>
          </m:e>
          <m:sub>
            <m:r>
              <w:rPr>
                <w:rFonts w:ascii="Cambria Math" w:eastAsia="Times New Roman" w:hAnsi="Cambria Math" w:cs="Times New Roman"/>
              </w:rPr>
              <m:t>μ</m:t>
            </m:r>
          </m:sub>
        </m:sSub>
        <m:r>
          <w:rPr>
            <w:rFonts w:ascii="Cambria Math" w:eastAsia="Times New Roman" w:hAnsi="Cambria Math" w:cs="Times New Roman"/>
          </w:rPr>
          <m:t>S</m:t>
        </m:r>
      </m:oMath>
      <w:r>
        <w:rPr>
          <w:rFonts w:ascii="Times New Roman" w:eastAsia="Times New Roman" w:hAnsi="Times New Roman" w:cs="Times New Roman"/>
        </w:rPr>
        <w:t xml:space="preserve"> with the electromagnetic potential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μ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. This was rejected by Einstein because if the Compton wavelength defined by the mass of a particle, were dependent on position it </w:t>
      </w:r>
      <w:r>
        <w:rPr>
          <w:rFonts w:ascii="Times New Roman" w:eastAsia="Times New Roman" w:hAnsi="Times New Roman" w:cs="Times New Roman"/>
        </w:rPr>
        <w:lastRenderedPageBreak/>
        <w:t xml:space="preserve">would violate special relativity. </w:t>
      </w:r>
      <w:proofErr w:type="gramStart"/>
      <w:r>
        <w:rPr>
          <w:rFonts w:ascii="Times New Roman" w:eastAsia="Times New Roman" w:hAnsi="Times New Roman" w:cs="Times New Roman"/>
        </w:rPr>
        <w:t>So</w:t>
      </w:r>
      <w:proofErr w:type="gramEnd"/>
      <w:r>
        <w:rPr>
          <w:rFonts w:ascii="Times New Roman" w:eastAsia="Times New Roman" w:hAnsi="Times New Roman" w:cs="Times New Roman"/>
        </w:rPr>
        <w:t xml:space="preserve"> the Gauge change died off. However Gauge invariance survived </w:t>
      </w:r>
      <w:r w:rsidR="00605CEB">
        <w:rPr>
          <w:rFonts w:ascii="Times New Roman" w:eastAsia="Times New Roman" w:hAnsi="Times New Roman" w:cs="Times New Roman"/>
        </w:rPr>
        <w:t xml:space="preserve">because with arbitrary potentials, Maxwell’s equations form the </w:t>
      </w:r>
      <w:proofErr w:type="gramStart"/>
      <w:r w:rsidR="00605CEB">
        <w:rPr>
          <w:rFonts w:ascii="Times New Roman" w:eastAsia="Times New Roman" w:hAnsi="Times New Roman" w:cs="Times New Roman"/>
        </w:rPr>
        <w:t>E,B</w:t>
      </w:r>
      <w:proofErr w:type="gramEnd"/>
      <w:r w:rsidR="00605CEB">
        <w:rPr>
          <w:rFonts w:ascii="Times New Roman" w:eastAsia="Times New Roman" w:hAnsi="Times New Roman" w:cs="Times New Roman"/>
        </w:rPr>
        <w:t xml:space="preserve">,H and D fields have </w:t>
      </w:r>
      <w:proofErr w:type="spellStart"/>
      <w:r w:rsidR="00605CEB">
        <w:rPr>
          <w:rFonts w:ascii="Times New Roman" w:eastAsia="Times New Roman" w:hAnsi="Times New Roman" w:cs="Times New Roman"/>
        </w:rPr>
        <w:t>build</w:t>
      </w:r>
      <w:proofErr w:type="spellEnd"/>
      <w:r w:rsidR="00605CEB">
        <w:rPr>
          <w:rFonts w:ascii="Times New Roman" w:eastAsia="Times New Roman" w:hAnsi="Times New Roman" w:cs="Times New Roman"/>
        </w:rPr>
        <w:t xml:space="preserve"> in symmetry the such potentials can simplify calculations. But the </w:t>
      </w:r>
      <w:r w:rsidR="003F6B95">
        <w:rPr>
          <w:rFonts w:ascii="Times New Roman" w:eastAsia="Times New Roman" w:hAnsi="Times New Roman" w:cs="Times New Roman"/>
        </w:rPr>
        <w:t>arbitrariness</w:t>
      </w:r>
      <w:bookmarkStart w:id="0" w:name="_GoBack"/>
      <w:bookmarkEnd w:id="0"/>
      <w:r w:rsidR="00605CEB">
        <w:rPr>
          <w:rFonts w:ascii="Times New Roman" w:eastAsia="Times New Roman" w:hAnsi="Times New Roman" w:cs="Times New Roman"/>
        </w:rPr>
        <w:t xml:space="preserve"> of a potential does not </w:t>
      </w:r>
      <w:proofErr w:type="spellStart"/>
      <w:r w:rsidR="00605CEB">
        <w:rPr>
          <w:rFonts w:ascii="Times New Roman" w:eastAsia="Times New Roman" w:hAnsi="Times New Roman" w:cs="Times New Roman"/>
        </w:rPr>
        <w:t>exit</w:t>
      </w:r>
      <w:proofErr w:type="spellEnd"/>
      <w:r w:rsidR="00605CEB">
        <w:rPr>
          <w:rFonts w:ascii="Times New Roman" w:eastAsia="Times New Roman" w:hAnsi="Times New Roman" w:cs="Times New Roman"/>
        </w:rPr>
        <w:t xml:space="preserve"> in quantum mechanics. </w:t>
      </w:r>
    </w:p>
    <w:p w14:paraId="287E3C8F" w14:textId="77777777" w:rsidR="00102686" w:rsidRPr="009A477A" w:rsidRDefault="00102686" w:rsidP="004A1145">
      <w:pPr>
        <w:rPr>
          <w:rFonts w:ascii="Times New Roman" w:eastAsia="Times New Roman" w:hAnsi="Times New Roman" w:cs="Times New Roman"/>
        </w:rPr>
      </w:pPr>
    </w:p>
    <w:p w14:paraId="0DE614D7" w14:textId="77777777" w:rsidR="004A1145" w:rsidRPr="009A477A" w:rsidRDefault="004A1145" w:rsidP="00460A51">
      <w:pPr>
        <w:rPr>
          <w:rFonts w:ascii="Times New Roman" w:hAnsi="Times New Roman" w:cs="Times New Roman"/>
        </w:rPr>
      </w:pPr>
    </w:p>
    <w:sectPr w:rsidR="004A1145" w:rsidRPr="009A477A" w:rsidSect="00A8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A4948"/>
    <w:multiLevelType w:val="hybridMultilevel"/>
    <w:tmpl w:val="A1A824C4"/>
    <w:lvl w:ilvl="0" w:tplc="8C94B10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028E1"/>
    <w:multiLevelType w:val="hybridMultilevel"/>
    <w:tmpl w:val="B1C6857E"/>
    <w:lvl w:ilvl="0" w:tplc="63981C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A5"/>
    <w:rsid w:val="00102686"/>
    <w:rsid w:val="003F6B95"/>
    <w:rsid w:val="00460A51"/>
    <w:rsid w:val="004A1145"/>
    <w:rsid w:val="00605CEB"/>
    <w:rsid w:val="006F5BF9"/>
    <w:rsid w:val="007C2FA5"/>
    <w:rsid w:val="00806BC8"/>
    <w:rsid w:val="00854E7B"/>
    <w:rsid w:val="009A477A"/>
    <w:rsid w:val="00A81DE9"/>
    <w:rsid w:val="00B42485"/>
    <w:rsid w:val="00C63B26"/>
    <w:rsid w:val="00E874BF"/>
    <w:rsid w:val="00EB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602F2"/>
  <w15:chartTrackingRefBased/>
  <w15:docId w15:val="{5480CC8E-9E6D-6148-9E0A-39309C37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B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5B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Lincoln, Todd Arthur</dc:creator>
  <cp:keywords/>
  <dc:description/>
  <cp:lastModifiedBy>Lincoln, Todd Arthur</cp:lastModifiedBy>
  <cp:revision>4</cp:revision>
  <dcterms:created xsi:type="dcterms:W3CDTF">2019-02-08T22:40:00Z</dcterms:created>
  <dcterms:modified xsi:type="dcterms:W3CDTF">2019-03-01T12:56:00Z</dcterms:modified>
</cp:coreProperties>
</file>