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67673" w14:textId="29735166" w:rsidR="00904DA3" w:rsidRPr="00904DA3" w:rsidRDefault="00904DA3" w:rsidP="00904DA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4DA3">
        <w:rPr>
          <w:rFonts w:ascii="Times New Roman" w:eastAsia="Times New Roman" w:hAnsi="Times New Roman" w:cs="Times New Roman"/>
          <w:color w:val="000000"/>
          <w:sz w:val="28"/>
          <w:szCs w:val="28"/>
        </w:rPr>
        <w:t>Article Outlines</w:t>
      </w:r>
    </w:p>
    <w:p w14:paraId="2FE65A4E" w14:textId="77777777" w:rsidR="00904DA3" w:rsidRPr="00904DA3" w:rsidRDefault="00904DA3" w:rsidP="00904DA3">
      <w:pPr>
        <w:rPr>
          <w:rFonts w:ascii="Times New Roman" w:eastAsia="Times New Roman" w:hAnsi="Times New Roman" w:cs="Times New Roman"/>
          <w:color w:val="000000"/>
        </w:rPr>
      </w:pPr>
    </w:p>
    <w:p w14:paraId="2CEFA42A" w14:textId="537AFA6F" w:rsidR="00904DA3" w:rsidRPr="00904DA3" w:rsidRDefault="00904DA3" w:rsidP="00904DA3">
      <w:pPr>
        <w:rPr>
          <w:rFonts w:ascii="Times New Roman" w:eastAsia="Times New Roman" w:hAnsi="Times New Roman" w:cs="Times New Roman"/>
          <w:color w:val="000000"/>
        </w:rPr>
      </w:pPr>
      <w:r w:rsidRPr="00904DA3">
        <w:rPr>
          <w:rFonts w:ascii="Times New Roman" w:eastAsia="Times New Roman" w:hAnsi="Times New Roman" w:cs="Times New Roman"/>
          <w:color w:val="000000"/>
        </w:rPr>
        <w:t xml:space="preserve">Barrett, T. W. (2008). Topological Foundations </w:t>
      </w:r>
      <w:proofErr w:type="gramStart"/>
      <w:r w:rsidRPr="00904DA3">
        <w:rPr>
          <w:rFonts w:ascii="Times New Roman" w:eastAsia="Times New Roman" w:hAnsi="Times New Roman" w:cs="Times New Roman"/>
          <w:color w:val="000000"/>
        </w:rPr>
        <w:t>Of</w:t>
      </w:r>
      <w:proofErr w:type="gramEnd"/>
      <w:r w:rsidRPr="00904DA3">
        <w:rPr>
          <w:rFonts w:ascii="Times New Roman" w:eastAsia="Times New Roman" w:hAnsi="Times New Roman" w:cs="Times New Roman"/>
          <w:color w:val="000000"/>
        </w:rPr>
        <w:t xml:space="preserve"> Electromagnetism. Hackensack, NJ: World Scientific.</w:t>
      </w:r>
    </w:p>
    <w:p w14:paraId="52AF58E7" w14:textId="007999DB" w:rsidR="00904DA3" w:rsidRPr="00904DA3" w:rsidRDefault="00904DA3" w:rsidP="00904DA3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904DA3">
        <w:rPr>
          <w:rFonts w:ascii="Times New Roman" w:eastAsia="Times New Roman" w:hAnsi="Times New Roman" w:cs="Times New Roman"/>
          <w:color w:val="000000"/>
        </w:rPr>
        <w:t>Motivation</w:t>
      </w:r>
    </w:p>
    <w:p w14:paraId="3EE214D4" w14:textId="77777777" w:rsidR="00904DA3" w:rsidRDefault="00904DA3" w:rsidP="00904DA3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51141C27" w14:textId="4806907E" w:rsidR="004131E7" w:rsidRPr="00904DA3" w:rsidRDefault="004131E7" w:rsidP="00904DA3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4131E7">
        <w:rPr>
          <w:rFonts w:ascii="Times New Roman" w:eastAsia="Times New Roman" w:hAnsi="Times New Roman" w:cs="Times New Roman"/>
          <w:color w:val="000000"/>
        </w:rPr>
        <w:t>Maxwell’s equations are foundational to electromagnetic theory. They</w:t>
      </w:r>
      <w:r w:rsidRPr="00904DA3">
        <w:rPr>
          <w:rFonts w:ascii="Times New Roman" w:eastAsia="Times New Roman" w:hAnsi="Times New Roman" w:cs="Times New Roman"/>
          <w:color w:val="000000"/>
        </w:rPr>
        <w:t xml:space="preserve"> </w:t>
      </w:r>
      <w:r w:rsidRPr="004131E7">
        <w:rPr>
          <w:rFonts w:ascii="Times New Roman" w:eastAsia="Times New Roman" w:hAnsi="Times New Roman" w:cs="Times New Roman"/>
          <w:color w:val="000000"/>
        </w:rPr>
        <w:t>are the</w:t>
      </w:r>
      <w:r w:rsidRPr="00904DA3">
        <w:rPr>
          <w:rFonts w:ascii="Times New Roman" w:eastAsia="Times New Roman" w:hAnsi="Times New Roman" w:cs="Times New Roman"/>
          <w:color w:val="000000"/>
        </w:rPr>
        <w:t xml:space="preserve"> cornerstone</w:t>
      </w:r>
      <w:r w:rsidRPr="004131E7">
        <w:rPr>
          <w:rFonts w:ascii="Times New Roman" w:eastAsia="Times New Roman" w:hAnsi="Times New Roman" w:cs="Times New Roman"/>
          <w:color w:val="000000"/>
        </w:rPr>
        <w:t xml:space="preserve"> </w:t>
      </w:r>
      <w:r w:rsidRPr="00904DA3">
        <w:rPr>
          <w:rFonts w:ascii="Times New Roman" w:eastAsia="Times New Roman" w:hAnsi="Times New Roman" w:cs="Times New Roman"/>
          <w:color w:val="000000"/>
        </w:rPr>
        <w:t>of electrostatics</w:t>
      </w:r>
      <w:r w:rsidRPr="004131E7">
        <w:rPr>
          <w:rFonts w:ascii="Times New Roman" w:eastAsia="Times New Roman" w:hAnsi="Times New Roman" w:cs="Times New Roman"/>
          <w:color w:val="000000"/>
        </w:rPr>
        <w:t xml:space="preserve">. </w:t>
      </w:r>
      <w:r w:rsidRPr="00904DA3">
        <w:rPr>
          <w:rFonts w:ascii="Times New Roman" w:eastAsia="Times New Roman" w:hAnsi="Times New Roman" w:cs="Times New Roman"/>
          <w:color w:val="000000"/>
        </w:rPr>
        <w:t>However,</w:t>
      </w:r>
      <w:r w:rsidRPr="004131E7">
        <w:rPr>
          <w:rFonts w:ascii="Times New Roman" w:eastAsia="Times New Roman" w:hAnsi="Times New Roman" w:cs="Times New Roman"/>
          <w:color w:val="000000"/>
        </w:rPr>
        <w:t xml:space="preserve"> there are </w:t>
      </w:r>
      <w:r w:rsidRPr="00904DA3">
        <w:rPr>
          <w:rFonts w:ascii="Times New Roman" w:eastAsia="Times New Roman" w:hAnsi="Times New Roman" w:cs="Times New Roman"/>
          <w:color w:val="000000"/>
        </w:rPr>
        <w:t xml:space="preserve">some </w:t>
      </w:r>
      <w:r w:rsidRPr="004131E7">
        <w:rPr>
          <w:rFonts w:ascii="Times New Roman" w:eastAsia="Times New Roman" w:hAnsi="Times New Roman" w:cs="Times New Roman"/>
          <w:color w:val="000000"/>
        </w:rPr>
        <w:t>phenomena that cannot be explained by the conventional Maxwell</w:t>
      </w:r>
      <w:r w:rsidRPr="00904DA3">
        <w:rPr>
          <w:rFonts w:ascii="Times New Roman" w:eastAsia="Times New Roman" w:hAnsi="Times New Roman" w:cs="Times New Roman"/>
          <w:color w:val="000000"/>
        </w:rPr>
        <w:t xml:space="preserve"> </w:t>
      </w:r>
      <w:r w:rsidRPr="004131E7">
        <w:rPr>
          <w:rFonts w:ascii="Times New Roman" w:eastAsia="Times New Roman" w:hAnsi="Times New Roman" w:cs="Times New Roman"/>
          <w:color w:val="000000"/>
        </w:rPr>
        <w:t xml:space="preserve">theory. </w:t>
      </w:r>
      <w:r w:rsidRPr="00904DA3">
        <w:rPr>
          <w:rFonts w:ascii="Times New Roman" w:eastAsia="Times New Roman" w:hAnsi="Times New Roman" w:cs="Times New Roman"/>
          <w:color w:val="000000"/>
        </w:rPr>
        <w:t>T</w:t>
      </w:r>
      <w:r w:rsidRPr="004131E7">
        <w:rPr>
          <w:rFonts w:ascii="Times New Roman" w:eastAsia="Times New Roman" w:hAnsi="Times New Roman" w:cs="Times New Roman"/>
          <w:color w:val="000000"/>
        </w:rPr>
        <w:t>he conventional Maxwell theory must be extended, or generalized, to a non-Abelian form. It explains, the majority of cases in electromagnetism</w:t>
      </w:r>
      <w:r w:rsidRPr="00904DA3">
        <w:rPr>
          <w:rFonts w:ascii="Times New Roman" w:eastAsia="Times New Roman" w:hAnsi="Times New Roman" w:cs="Times New Roman"/>
          <w:color w:val="000000"/>
        </w:rPr>
        <w:t xml:space="preserve">, however </w:t>
      </w:r>
      <w:r w:rsidR="00904DA3" w:rsidRPr="00904DA3">
        <w:rPr>
          <w:rFonts w:ascii="Times New Roman" w:eastAsia="Times New Roman" w:hAnsi="Times New Roman" w:cs="Times New Roman"/>
          <w:color w:val="000000"/>
        </w:rPr>
        <w:t>it is the topology of the spatiotemporal situation that can explain the outlying effects.</w:t>
      </w:r>
      <w:r w:rsidRPr="004131E7">
        <w:rPr>
          <w:rFonts w:ascii="Times New Roman" w:eastAsia="Times New Roman" w:hAnsi="Times New Roman" w:cs="Times New Roman"/>
          <w:color w:val="000000"/>
        </w:rPr>
        <w:t xml:space="preserve"> </w:t>
      </w:r>
      <w:r w:rsidRPr="00904DA3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4131E7">
        <w:rPr>
          <w:rFonts w:ascii="Times New Roman" w:eastAsia="Times New Roman" w:hAnsi="Times New Roman" w:cs="Times New Roman"/>
          <w:color w:val="000000"/>
        </w:rPr>
        <w:t>most basic explanation of electromagnetic phenomena and their physical models lies not in differential calculus or group</w:t>
      </w:r>
      <w:r w:rsidRPr="00904DA3">
        <w:rPr>
          <w:rFonts w:ascii="Times New Roman" w:eastAsia="Times New Roman" w:hAnsi="Times New Roman" w:cs="Times New Roman"/>
          <w:color w:val="000000"/>
        </w:rPr>
        <w:t xml:space="preserve"> </w:t>
      </w:r>
      <w:r w:rsidRPr="004131E7">
        <w:rPr>
          <w:rFonts w:ascii="Times New Roman" w:eastAsia="Times New Roman" w:hAnsi="Times New Roman" w:cs="Times New Roman"/>
          <w:color w:val="000000"/>
        </w:rPr>
        <w:t>theory, but in the topological description of the</w:t>
      </w:r>
      <w:r w:rsidR="00904DA3" w:rsidRPr="00904DA3">
        <w:rPr>
          <w:rFonts w:ascii="Times New Roman" w:eastAsia="Times New Roman" w:hAnsi="Times New Roman" w:cs="Times New Roman"/>
          <w:color w:val="000000"/>
        </w:rPr>
        <w:t xml:space="preserve"> </w:t>
      </w:r>
      <w:r w:rsidRPr="004131E7">
        <w:rPr>
          <w:rFonts w:ascii="Times New Roman" w:eastAsia="Times New Roman" w:hAnsi="Times New Roman" w:cs="Times New Roman"/>
          <w:color w:val="000000"/>
        </w:rPr>
        <w:t xml:space="preserve">(spatiotemporal) situation. </w:t>
      </w:r>
    </w:p>
    <w:p w14:paraId="4F789AA6" w14:textId="77777777" w:rsidR="00904DA3" w:rsidRPr="00904DA3" w:rsidRDefault="00904DA3" w:rsidP="00904DA3">
      <w:pPr>
        <w:rPr>
          <w:rFonts w:ascii="Times New Roman" w:eastAsia="Times New Roman" w:hAnsi="Times New Roman" w:cs="Times New Roman"/>
          <w:color w:val="000000"/>
        </w:rPr>
      </w:pPr>
    </w:p>
    <w:p w14:paraId="0C78BA9D" w14:textId="633C1E56" w:rsidR="00E44B20" w:rsidRPr="00E44B20" w:rsidRDefault="00E44B20" w:rsidP="00E44B20">
      <w:pPr>
        <w:jc w:val="center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904DA3">
        <w:rPr>
          <w:rFonts w:ascii="Times New Roman" w:eastAsia="Times New Roman" w:hAnsi="Times New Roman" w:cs="Times New Roman"/>
          <w:color w:val="000000"/>
        </w:rPr>
        <w:t>Anomalous Electromagnetic Phenomena not explained by Maxwell’s Equations</w:t>
      </w:r>
    </w:p>
    <w:p w14:paraId="0E9BC83E" w14:textId="77777777" w:rsidR="00E44B20" w:rsidRPr="00036ECE" w:rsidRDefault="00E44B20" w:rsidP="00E44B20">
      <w:pPr>
        <w:rPr>
          <w:rFonts w:ascii="Times New Roman" w:eastAsia="Times New Roman" w:hAnsi="Times New Roman" w:cs="Times New Roman"/>
          <w:color w:val="000000"/>
        </w:rPr>
      </w:pPr>
    </w:p>
    <w:p w14:paraId="788D0CAF" w14:textId="0A58D175" w:rsidR="00036ECE" w:rsidRPr="00036ECE" w:rsidRDefault="00036ECE" w:rsidP="00036ECE">
      <w:pPr>
        <w:rPr>
          <w:rFonts w:ascii="Times New Roman" w:eastAsia="Times New Roman" w:hAnsi="Times New Roman" w:cs="Times New Roman"/>
        </w:rPr>
      </w:pPr>
      <w:r w:rsidRPr="00036ECE">
        <w:rPr>
          <w:rFonts w:ascii="Times New Roman" w:eastAsia="Times New Roman" w:hAnsi="Times New Roman" w:cs="Times New Roman"/>
          <w:color w:val="000000"/>
        </w:rPr>
        <w:t>F</w:t>
      </w:r>
      <w:r w:rsidRPr="00036ECE">
        <w:rPr>
          <w:rFonts w:ascii="Times New Roman" w:eastAsia="Times New Roman" w:hAnsi="Times New Roman" w:cs="Times New Roman"/>
          <w:color w:val="000000"/>
        </w:rPr>
        <w:t>ield(s)→free electron(F→FE),</w:t>
      </w:r>
      <w:r w:rsidRPr="00036ECE">
        <w:rPr>
          <w:rFonts w:ascii="Times New Roman" w:eastAsia="Times New Roman" w:hAnsi="Times New Roman" w:cs="Times New Roman"/>
          <w:color w:val="000000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</w:rPr>
        <w:t xml:space="preserve">field(s)→conducting electron(F→CE), field(s)→particle(F→P), wave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</w:rPr>
        <w:t>guide→field</w:t>
      </w:r>
      <w:proofErr w:type="spellEnd"/>
      <w:r w:rsidRPr="00036ECE">
        <w:rPr>
          <w:rFonts w:ascii="Times New Roman" w:eastAsia="Times New Roman" w:hAnsi="Times New Roman" w:cs="Times New Roman"/>
          <w:color w:val="000000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</w:rPr>
        <w:t xml:space="preserve">(WG→F), conducting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</w:rPr>
        <w:t>electron→</w:t>
      </w:r>
      <w:proofErr w:type="gramStart"/>
      <w:r w:rsidRPr="00036ECE">
        <w:rPr>
          <w:rFonts w:ascii="Times New Roman" w:eastAsia="Times New Roman" w:hAnsi="Times New Roman" w:cs="Times New Roman"/>
          <w:color w:val="000000"/>
        </w:rPr>
        <w:t>field</w:t>
      </w:r>
      <w:proofErr w:type="spellEnd"/>
      <w:r w:rsidRPr="00036ECE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36ECE">
        <w:rPr>
          <w:rFonts w:ascii="Times New Roman" w:eastAsia="Times New Roman" w:hAnsi="Times New Roman" w:cs="Times New Roman"/>
          <w:color w:val="000000"/>
        </w:rPr>
        <w:t>s</w:t>
      </w:r>
      <w:r w:rsidRPr="00036ECE">
        <w:rPr>
          <w:rFonts w:ascii="Times New Roman" w:eastAsia="Times New Roman" w:hAnsi="Times New Roman" w:cs="Times New Roman"/>
          <w:color w:val="000000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</w:rPr>
        <w:t>(CE→F)</w:t>
      </w:r>
      <w:r w:rsidRPr="00036ECE">
        <w:rPr>
          <w:rFonts w:ascii="Times New Roman" w:eastAsia="Times New Roman" w:hAnsi="Times New Roman" w:cs="Times New Roman"/>
          <w:color w:val="000000"/>
        </w:rPr>
        <w:t xml:space="preserve">, </w:t>
      </w:r>
      <w:r w:rsidRPr="00036ECE">
        <w:rPr>
          <w:rFonts w:ascii="Times New Roman" w:eastAsia="Times New Roman" w:hAnsi="Times New Roman" w:cs="Times New Roman"/>
          <w:color w:val="000000"/>
        </w:rPr>
        <w:t xml:space="preserve">and rotating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</w:rPr>
        <w:t>frame→field</w:t>
      </w:r>
      <w:proofErr w:type="spellEnd"/>
      <w:r w:rsidRPr="00036ECE">
        <w:rPr>
          <w:rFonts w:ascii="Times New Roman" w:eastAsia="Times New Roman" w:hAnsi="Times New Roman" w:cs="Times New Roman"/>
          <w:color w:val="000000"/>
        </w:rPr>
        <w:t>(s)(RF→F)interactions.</w:t>
      </w:r>
    </w:p>
    <w:p w14:paraId="037E52E1" w14:textId="77777777" w:rsidR="00036ECE" w:rsidRDefault="00036ECE" w:rsidP="00036ECE">
      <w:pPr>
        <w:pStyle w:val="ListParagrap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F5F03B7" w14:textId="562C7B2D" w:rsidR="00E44B20" w:rsidRPr="00036ECE" w:rsidRDefault="00E44B20" w:rsidP="00E44B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Aharonov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–Bohm and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Altshuler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Aronov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–Spivak effects</w:t>
      </w:r>
      <w:r w:rsidR="00036ECE"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Ehrenberg and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Siday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Aharonov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proofErr w:type="spellStart"/>
      <w:proofErr w:type="gram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Bohm,and</w:t>
      </w:r>
      <w:proofErr w:type="spellEnd"/>
      <w:proofErr w:type="gram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Altshuler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Aronov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Spivak predicted experimental results by attributing physical effects to the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2"/>
                <w:szCs w:val="22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m:t>A</m:t>
            </m:r>
            <m:ctrl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μ</m:t>
            </m:r>
          </m:sub>
        </m:sSub>
      </m:oMath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potentials. Most commentaries in classical field theory still show these potentials as mathematical conveniences without gauge invariance and with no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physical significance.</w:t>
      </w:r>
    </w:p>
    <w:p w14:paraId="542E3362" w14:textId="77777777" w:rsidR="00E44B20" w:rsidRPr="00036ECE" w:rsidRDefault="00E44B20" w:rsidP="00E44B20">
      <w:pPr>
        <w:pStyle w:val="ListParagrap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DF21E14" w14:textId="0C68393E" w:rsidR="00E44B20" w:rsidRPr="00036ECE" w:rsidRDefault="00E44B20" w:rsidP="00E44B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topological phase effects of Berry,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Aharonov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Anandan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, Pan-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charatnam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Chiao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Wu</w:t>
      </w:r>
      <w:r w:rsidR="00036ECE"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(WG→F and F→P). In the WG→F</w:t>
      </w:r>
      <w:r w:rsidR="00036ECE"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version, the polarization of light is changed by changing the spatial trajectory adiabatically. The Berry–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Aharonov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Anandan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phase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has also been demonstrated at the quantum as well as the classical level. This phase effect in parameter (momentum) space is the</w:t>
      </w:r>
      <w:r w:rsidR="00036ECE"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correlate of the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Aharonov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–Bohm effect in metric (ordinary) space,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both involving adiabatic transport.</w:t>
      </w:r>
    </w:p>
    <w:p w14:paraId="6DD2CB38" w14:textId="77777777" w:rsidR="00036ECE" w:rsidRPr="00036ECE" w:rsidRDefault="00036ECE" w:rsidP="00036ECE">
      <w:pPr>
        <w:pStyle w:val="ListParagrap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3AACFC9" w14:textId="05271061" w:rsidR="00036ECE" w:rsidRPr="00036ECE" w:rsidRDefault="00036ECE" w:rsidP="00036E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The Josephson effect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(CE→F). At both the quantum and the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macro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physical level, the free energy of the barrier is defined with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respect to an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2"/>
                <w:szCs w:val="22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m:t>A</m:t>
            </m:r>
            <m:ctrl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μ</m:t>
            </m:r>
          </m:sub>
        </m:sSub>
      </m:oMath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potential variable (phase)</w:t>
      </w:r>
    </w:p>
    <w:p w14:paraId="7AF25238" w14:textId="77777777" w:rsidR="00036ECE" w:rsidRPr="00036ECE" w:rsidRDefault="00036ECE" w:rsidP="00036ECE">
      <w:pPr>
        <w:pStyle w:val="ListParagrap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7D65B07" w14:textId="46AC1435" w:rsidR="00036ECE" w:rsidRPr="00036ECE" w:rsidRDefault="00036ECE" w:rsidP="00036E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The quantum Hall effect(F→CE). Gauge invariance of the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2"/>
                <w:szCs w:val="22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m:t>A</m:t>
            </m:r>
            <w:proofErr w:type="spellEnd"/>
            <m:ctrl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μ</m:t>
            </m:r>
          </m:sub>
        </m:sSub>
      </m:oMath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vector potential, being an exact symmetry, forces the addition of a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flux quantum to result in an excitation without dependence on the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electron density.</w:t>
      </w:r>
    </w:p>
    <w:p w14:paraId="356EF708" w14:textId="77777777" w:rsidR="00036ECE" w:rsidRPr="00036ECE" w:rsidRDefault="00036ECE" w:rsidP="00036ECE">
      <w:pPr>
        <w:pStyle w:val="ListParagrap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DACA825" w14:textId="3D5E52AF" w:rsidR="00036ECE" w:rsidRPr="00036ECE" w:rsidRDefault="00036ECE" w:rsidP="00036E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The De Haas–Van Alphen effect(F→CE). The periodicity of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oscillations in this effect is determined by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2"/>
                <w:szCs w:val="22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m:t>A</m:t>
            </m:r>
            <m:ctrl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μ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2"/>
            <w:szCs w:val="22"/>
          </w:rPr>
          <m:t xml:space="preserve"> </m:t>
        </m:r>
      </m:oMath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potential dependency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and gauge invariance.</w:t>
      </w:r>
    </w:p>
    <w:p w14:paraId="03BB4918" w14:textId="77777777" w:rsidR="00036ECE" w:rsidRPr="00036ECE" w:rsidRDefault="00036ECE" w:rsidP="00036ECE">
      <w:pPr>
        <w:pStyle w:val="ListParagrap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9D521EF" w14:textId="77777777" w:rsidR="00036ECE" w:rsidRPr="00036ECE" w:rsidRDefault="00036ECE" w:rsidP="00036E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6.The </w:t>
      </w:r>
      <w:proofErr w:type="spellStart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Sagnac</w:t>
      </w:r>
      <w:proofErr w:type="spellEnd"/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effect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(RF→F). Exhibited in the well-known and well-used ring laser gyro, this effect demonstrates that the Maxwell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theory, as presently formulated, does not make explicit the constitutive relations of free space, and does not have a built-in Lorentz invariance as its field equations are independent of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036ECE">
        <w:rPr>
          <w:rFonts w:ascii="Times New Roman" w:eastAsia="Times New Roman" w:hAnsi="Times New Roman" w:cs="Times New Roman"/>
          <w:color w:val="000000"/>
          <w:sz w:val="22"/>
          <w:szCs w:val="22"/>
        </w:rPr>
        <w:t>the metric</w:t>
      </w:r>
      <w:r w:rsidRPr="00036E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(Barrett 3-4)</w:t>
      </w:r>
    </w:p>
    <w:p w14:paraId="0083D839" w14:textId="77777777" w:rsidR="00036ECE" w:rsidRPr="00036ECE" w:rsidRDefault="00036ECE" w:rsidP="00036ECE">
      <w:pPr>
        <w:pStyle w:val="ListParagraph"/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49288B3E" w14:textId="188019B0" w:rsidR="00904DA3" w:rsidRPr="004131E7" w:rsidRDefault="00036ECE" w:rsidP="00036ECE">
      <w:pPr>
        <w:rPr>
          <w:rFonts w:ascii="Times New Roman" w:eastAsia="Times New Roman" w:hAnsi="Times New Roman" w:cs="Times New Roman"/>
          <w:color w:val="000000"/>
        </w:rPr>
      </w:pPr>
      <w:r w:rsidRPr="00036ECE">
        <w:rPr>
          <w:rFonts w:ascii="Helvetica" w:eastAsia="Times New Roman" w:hAnsi="Helvetica" w:cs="Times New Roman"/>
          <w:color w:val="000000"/>
          <w:sz w:val="18"/>
          <w:szCs w:val="18"/>
        </w:rPr>
        <w:lastRenderedPageBreak/>
        <w:t>The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2"/>
                <w:szCs w:val="22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m:t>A</m:t>
            </m:r>
            <m:ctrl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μ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2"/>
            <w:szCs w:val="22"/>
          </w:rPr>
          <m:t xml:space="preserve"> </m:t>
        </m:r>
      </m:oMath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Pr="00036ECE">
        <w:rPr>
          <w:rFonts w:ascii="Helvetica" w:eastAsia="Times New Roman" w:hAnsi="Helvetica" w:cs="Times New Roman"/>
          <w:color w:val="000000"/>
          <w:sz w:val="18"/>
          <w:szCs w:val="18"/>
        </w:rPr>
        <w:t>potentials have been demonstrated to be physically meaningful constructs at the quantum level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, </w:t>
      </w:r>
      <w:r w:rsidRPr="00036ECE">
        <w:rPr>
          <w:rFonts w:ascii="Helvetica" w:eastAsia="Times New Roman" w:hAnsi="Helvetica" w:cs="Times New Roman"/>
          <w:color w:val="000000"/>
          <w:sz w:val="18"/>
          <w:szCs w:val="18"/>
        </w:rPr>
        <w:t>at the classical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Pr="00036ECE">
        <w:rPr>
          <w:rFonts w:ascii="Helvetica" w:eastAsia="Times New Roman" w:hAnsi="Helvetica" w:cs="Times New Roman"/>
          <w:color w:val="000000"/>
          <w:sz w:val="18"/>
          <w:szCs w:val="18"/>
        </w:rPr>
        <w:t>level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.</w:t>
      </w:r>
      <w:bookmarkStart w:id="0" w:name="_GoBack"/>
      <w:bookmarkEnd w:id="0"/>
      <w:r w:rsidRPr="00036E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7A29B62D" w14:textId="77777777" w:rsidR="00496DAC" w:rsidRPr="00904DA3" w:rsidRDefault="00036ECE">
      <w:pPr>
        <w:rPr>
          <w:rFonts w:ascii="Times New Roman" w:hAnsi="Times New Roman" w:cs="Times New Roman"/>
        </w:rPr>
      </w:pPr>
    </w:p>
    <w:sectPr w:rsidR="00496DAC" w:rsidRPr="00904DA3" w:rsidSect="00A8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479A5"/>
    <w:multiLevelType w:val="hybridMultilevel"/>
    <w:tmpl w:val="06CAC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D8"/>
    <w:rsid w:val="00036ECE"/>
    <w:rsid w:val="003E5ED8"/>
    <w:rsid w:val="004131E7"/>
    <w:rsid w:val="00854E7B"/>
    <w:rsid w:val="00904DA3"/>
    <w:rsid w:val="00A81DE9"/>
    <w:rsid w:val="00E4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8DA44"/>
  <w15:chartTrackingRefBased/>
  <w15:docId w15:val="{FF44225B-1FC1-DF4F-8D57-7F388736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DA3"/>
    <w:rPr>
      <w:color w:val="808080"/>
    </w:rPr>
  </w:style>
  <w:style w:type="paragraph" w:styleId="ListParagraph">
    <w:name w:val="List Paragraph"/>
    <w:basedOn w:val="Normal"/>
    <w:uiPriority w:val="34"/>
    <w:qFormat/>
    <w:rsid w:val="00E44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Lincoln, Todd Arthur</dc:creator>
  <cp:keywords/>
  <dc:description/>
  <cp:lastModifiedBy>Lincoln, Todd Arthur</cp:lastModifiedBy>
  <cp:revision>2</cp:revision>
  <dcterms:created xsi:type="dcterms:W3CDTF">2019-01-18T20:59:00Z</dcterms:created>
  <dcterms:modified xsi:type="dcterms:W3CDTF">2019-01-18T21:43:00Z</dcterms:modified>
</cp:coreProperties>
</file>