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E6604" w14:textId="77777777" w:rsidR="001A37F8" w:rsidRPr="00B25FFC" w:rsidRDefault="00DB3A3C" w:rsidP="00EC4A1E">
      <w:pPr>
        <w:spacing w:after="40" w:line="276" w:lineRule="auto"/>
        <w:jc w:val="center"/>
        <w:rPr>
          <w:rFonts w:ascii="Arial" w:hAnsi="Arial" w:cs="Arial"/>
          <w:sz w:val="24"/>
          <w:szCs w:val="24"/>
        </w:rPr>
      </w:pPr>
      <w:r w:rsidRPr="00B25FFC">
        <w:rPr>
          <w:rFonts w:ascii="Arial" w:eastAsia="Calibri" w:hAnsi="Arial" w:cs="Arial"/>
          <w:b/>
          <w:bCs/>
          <w:sz w:val="24"/>
          <w:szCs w:val="24"/>
        </w:rPr>
        <w:t>Big Data Analysis of NYC Yellow Taxi Trip Records</w:t>
      </w:r>
    </w:p>
    <w:p w14:paraId="487C608C" w14:textId="4825A3B5" w:rsidR="001A37F8" w:rsidRPr="00B25FFC" w:rsidRDefault="00DB3A3C" w:rsidP="00EC4A1E">
      <w:pPr>
        <w:spacing w:after="40" w:line="276" w:lineRule="auto"/>
        <w:jc w:val="center"/>
        <w:rPr>
          <w:rFonts w:ascii="Arial" w:hAnsi="Arial" w:cs="Arial"/>
          <w:sz w:val="24"/>
          <w:szCs w:val="24"/>
        </w:rPr>
      </w:pPr>
      <w:r w:rsidRPr="00B25FFC">
        <w:rPr>
          <w:rFonts w:ascii="Arial" w:eastAsia="Calibri" w:hAnsi="Arial" w:cs="Arial"/>
          <w:sz w:val="24"/>
          <w:szCs w:val="24"/>
        </w:rPr>
        <w:t xml:space="preserve">MIT 805: Big Data </w:t>
      </w:r>
      <w:r w:rsidR="00B25FFC">
        <w:rPr>
          <w:rFonts w:ascii="Arial" w:eastAsia="Calibri" w:hAnsi="Arial" w:cs="Arial"/>
          <w:sz w:val="24"/>
          <w:szCs w:val="24"/>
        </w:rPr>
        <w:t>Group</w:t>
      </w:r>
      <w:r w:rsidRPr="00B25FFC">
        <w:rPr>
          <w:rFonts w:ascii="Arial" w:eastAsia="Calibri" w:hAnsi="Arial" w:cs="Arial"/>
          <w:sz w:val="24"/>
          <w:szCs w:val="24"/>
        </w:rPr>
        <w:t xml:space="preserve"> Project (2026) — Part 1: Data Collection &amp; Analysis</w:t>
      </w:r>
    </w:p>
    <w:p w14:paraId="23962F3D" w14:textId="77777777" w:rsidR="003625EC" w:rsidRPr="00B25FFC" w:rsidRDefault="00DB3A3C" w:rsidP="00EC4A1E">
      <w:pPr>
        <w:spacing w:after="200" w:line="276" w:lineRule="auto"/>
        <w:jc w:val="center"/>
        <w:rPr>
          <w:rFonts w:ascii="Arial" w:eastAsia="Calibri" w:hAnsi="Arial" w:cs="Arial"/>
          <w:sz w:val="24"/>
          <w:szCs w:val="24"/>
        </w:rPr>
      </w:pPr>
      <w:r w:rsidRPr="00B25FFC">
        <w:rPr>
          <w:rFonts w:ascii="Arial" w:eastAsia="Calibri" w:hAnsi="Arial" w:cs="Arial"/>
          <w:sz w:val="24"/>
          <w:szCs w:val="24"/>
        </w:rPr>
        <w:t>[</w:t>
      </w:r>
      <w:r w:rsidR="003625EC" w:rsidRPr="00B25FFC">
        <w:rPr>
          <w:rFonts w:ascii="Arial" w:eastAsia="Calibri" w:hAnsi="Arial" w:cs="Arial"/>
          <w:sz w:val="24"/>
          <w:szCs w:val="24"/>
        </w:rPr>
        <w:t>Vincent Mabuza</w:t>
      </w:r>
      <w:r w:rsidRPr="00B25FFC">
        <w:rPr>
          <w:rFonts w:ascii="Arial" w:eastAsia="Calibri" w:hAnsi="Arial" w:cs="Arial"/>
          <w:sz w:val="24"/>
          <w:szCs w:val="24"/>
        </w:rPr>
        <w:t xml:space="preserve"> </w:t>
      </w:r>
      <w:proofErr w:type="gramStart"/>
      <w:r w:rsidR="003625EC" w:rsidRPr="00B25FFC">
        <w:rPr>
          <w:rFonts w:ascii="Arial" w:eastAsia="Calibri" w:hAnsi="Arial" w:cs="Arial"/>
          <w:sz w:val="24"/>
          <w:szCs w:val="24"/>
        </w:rPr>
        <w:t>-  u</w:t>
      </w:r>
      <w:proofErr w:type="gramEnd"/>
      <w:r w:rsidR="003625EC" w:rsidRPr="00B25FFC">
        <w:rPr>
          <w:rFonts w:ascii="Arial" w:eastAsia="Calibri" w:hAnsi="Arial" w:cs="Arial"/>
          <w:sz w:val="24"/>
          <w:szCs w:val="24"/>
        </w:rPr>
        <w:t>10633244</w:t>
      </w:r>
      <w:proofErr w:type="gramStart"/>
      <w:r w:rsidRPr="00B25FFC">
        <w:rPr>
          <w:rFonts w:ascii="Arial" w:eastAsia="Calibri" w:hAnsi="Arial" w:cs="Arial"/>
          <w:sz w:val="24"/>
          <w:szCs w:val="24"/>
        </w:rPr>
        <w:t xml:space="preserve">]  </w:t>
      </w:r>
      <w:r w:rsidR="003625EC" w:rsidRPr="00B25FFC">
        <w:rPr>
          <w:rFonts w:ascii="Arial" w:eastAsia="Calibri" w:hAnsi="Arial" w:cs="Arial"/>
          <w:sz w:val="24"/>
          <w:szCs w:val="24"/>
        </w:rPr>
        <w:t>and</w:t>
      </w:r>
      <w:proofErr w:type="gramEnd"/>
      <w:r w:rsidRPr="00B25FFC">
        <w:rPr>
          <w:rFonts w:ascii="Arial" w:eastAsia="Calibri" w:hAnsi="Arial" w:cs="Arial"/>
          <w:sz w:val="24"/>
          <w:szCs w:val="24"/>
        </w:rPr>
        <w:t xml:space="preserve">  [</w:t>
      </w:r>
      <w:r w:rsidR="003625EC" w:rsidRPr="00B25FFC">
        <w:rPr>
          <w:rFonts w:ascii="Arial" w:eastAsia="Calibri" w:hAnsi="Arial" w:cs="Arial"/>
          <w:sz w:val="24"/>
          <w:szCs w:val="24"/>
        </w:rPr>
        <w:t>Linda Masia -</w:t>
      </w:r>
      <w:r w:rsidRPr="00B25FFC">
        <w:rPr>
          <w:rFonts w:ascii="Arial" w:eastAsia="Calibri" w:hAnsi="Arial" w:cs="Arial"/>
          <w:sz w:val="24"/>
          <w:szCs w:val="24"/>
        </w:rPr>
        <w:t xml:space="preserve"> </w:t>
      </w:r>
      <w:r w:rsidRPr="006E4A83">
        <w:rPr>
          <w:rFonts w:ascii="Arial" w:eastAsia="Calibri" w:hAnsi="Arial" w:cs="Arial"/>
          <w:color w:val="FF0000"/>
          <w:sz w:val="24"/>
          <w:szCs w:val="24"/>
        </w:rPr>
        <w:t>Student Number</w:t>
      </w:r>
      <w:r w:rsidRPr="00B25FFC">
        <w:rPr>
          <w:rFonts w:ascii="Arial" w:eastAsia="Calibri" w:hAnsi="Arial" w:cs="Arial"/>
          <w:sz w:val="24"/>
          <w:szCs w:val="24"/>
        </w:rPr>
        <w:t>]</w:t>
      </w:r>
    </w:p>
    <w:p w14:paraId="1608F972" w14:textId="77777777" w:rsidR="003625EC" w:rsidRPr="00B25FFC" w:rsidRDefault="003625EC" w:rsidP="003625EC">
      <w:pPr>
        <w:spacing w:after="200" w:line="276" w:lineRule="auto"/>
        <w:rPr>
          <w:rFonts w:ascii="Arial" w:eastAsia="Calibri" w:hAnsi="Arial" w:cs="Arial"/>
          <w:sz w:val="24"/>
          <w:szCs w:val="24"/>
        </w:rPr>
      </w:pPr>
    </w:p>
    <w:p w14:paraId="5ACCAD8A" w14:textId="539F017D" w:rsidR="001A37F8" w:rsidRPr="00B25FFC" w:rsidRDefault="00DB3A3C" w:rsidP="003625EC">
      <w:pPr>
        <w:spacing w:after="200" w:line="276" w:lineRule="auto"/>
        <w:rPr>
          <w:rFonts w:ascii="Arial" w:hAnsi="Arial" w:cs="Arial"/>
          <w:sz w:val="24"/>
          <w:szCs w:val="24"/>
        </w:rPr>
      </w:pPr>
      <w:r w:rsidRPr="00B25FFC">
        <w:rPr>
          <w:rFonts w:ascii="Arial" w:eastAsia="Calibri" w:hAnsi="Arial" w:cs="Arial"/>
          <w:b/>
          <w:bCs/>
          <w:sz w:val="24"/>
          <w:szCs w:val="24"/>
        </w:rPr>
        <w:t>1. Dataset Provenance and Description</w:t>
      </w:r>
    </w:p>
    <w:p w14:paraId="792A7174" w14:textId="30E375DE" w:rsidR="001A37F8" w:rsidRPr="00B25FFC" w:rsidRDefault="00DB3A3C" w:rsidP="003625EC">
      <w:pPr>
        <w:spacing w:after="100" w:line="276" w:lineRule="auto"/>
        <w:jc w:val="both"/>
        <w:rPr>
          <w:rFonts w:ascii="Arial" w:hAnsi="Arial" w:cs="Arial"/>
          <w:sz w:val="24"/>
          <w:szCs w:val="24"/>
        </w:rPr>
      </w:pPr>
      <w:r w:rsidRPr="00B25FFC">
        <w:rPr>
          <w:rFonts w:ascii="Arial" w:eastAsia="Calibri" w:hAnsi="Arial" w:cs="Arial"/>
          <w:sz w:val="24"/>
          <w:szCs w:val="24"/>
        </w:rPr>
        <w:t xml:space="preserve">This project analyses the </w:t>
      </w:r>
      <w:r w:rsidRPr="00B25FFC">
        <w:rPr>
          <w:rFonts w:ascii="Arial" w:eastAsia="Calibri" w:hAnsi="Arial" w:cs="Arial"/>
          <w:sz w:val="24"/>
          <w:szCs w:val="24"/>
        </w:rPr>
        <w:t xml:space="preserve">NYC Taxi and Limousine Commission (TLC) Yellow Taxi Trip Record dataset, </w:t>
      </w:r>
      <w:r w:rsidRPr="00B25FFC">
        <w:rPr>
          <w:rFonts w:ascii="Arial" w:eastAsia="Calibri" w:hAnsi="Arial" w:cs="Arial"/>
          <w:sz w:val="24"/>
          <w:szCs w:val="24"/>
        </w:rPr>
        <w:t xml:space="preserve">published by the New York City Taxi and Limousine Commission and available at </w:t>
      </w:r>
      <w:hyperlink r:id="rId7" w:history="1">
        <w:r w:rsidRPr="00B25FFC">
          <w:rPr>
            <w:rStyle w:val="Hyperlink"/>
            <w:rFonts w:ascii="Arial" w:eastAsia="Calibri" w:hAnsi="Arial" w:cs="Arial"/>
            <w:i/>
            <w:iCs/>
            <w:sz w:val="24"/>
            <w:szCs w:val="24"/>
          </w:rPr>
          <w:t>https://www.nyc.</w:t>
        </w:r>
        <w:r w:rsidRPr="00B25FFC">
          <w:rPr>
            <w:rStyle w:val="Hyperlink"/>
            <w:rFonts w:ascii="Arial" w:eastAsia="Calibri" w:hAnsi="Arial" w:cs="Arial"/>
            <w:i/>
            <w:iCs/>
            <w:sz w:val="24"/>
            <w:szCs w:val="24"/>
          </w:rPr>
          <w:t>g</w:t>
        </w:r>
        <w:r w:rsidRPr="00B25FFC">
          <w:rPr>
            <w:rStyle w:val="Hyperlink"/>
            <w:rFonts w:ascii="Arial" w:eastAsia="Calibri" w:hAnsi="Arial" w:cs="Arial"/>
            <w:i/>
            <w:iCs/>
            <w:sz w:val="24"/>
            <w:szCs w:val="24"/>
          </w:rPr>
          <w:t>ov/site/tlc/about/tlc-trip-record-data.page</w:t>
        </w:r>
      </w:hyperlink>
      <w:r w:rsidRPr="00B25FFC">
        <w:rPr>
          <w:rFonts w:ascii="Arial" w:eastAsia="Calibri" w:hAnsi="Arial" w:cs="Arial"/>
          <w:sz w:val="24"/>
          <w:szCs w:val="24"/>
        </w:rPr>
        <w:t xml:space="preserve">. The dataset records individual taxi trips within New York City, including pickup/drop-off times and locations, trip distances, fares, and payment information. This project uses </w:t>
      </w:r>
      <w:r w:rsidR="003625EC" w:rsidRPr="00B25FFC">
        <w:rPr>
          <w:rFonts w:ascii="Arial" w:eastAsia="Calibri" w:hAnsi="Arial" w:cs="Arial"/>
          <w:sz w:val="24"/>
          <w:szCs w:val="24"/>
        </w:rPr>
        <w:t>the most recent (2026) data, rolling back in years until it reaches the target of 12GB.</w:t>
      </w:r>
    </w:p>
    <w:p w14:paraId="251018D2" w14:textId="77777777" w:rsidR="007B1098" w:rsidRPr="00B25FFC" w:rsidRDefault="00DB3A3C" w:rsidP="007B1098">
      <w:pPr>
        <w:spacing w:after="100" w:line="276" w:lineRule="auto"/>
        <w:jc w:val="both"/>
        <w:rPr>
          <w:rFonts w:ascii="Arial" w:eastAsia="Calibri" w:hAnsi="Arial" w:cs="Arial"/>
          <w:i/>
          <w:iCs/>
          <w:color w:val="FF0000"/>
          <w:sz w:val="24"/>
          <w:szCs w:val="24"/>
        </w:rPr>
      </w:pPr>
      <w:r w:rsidRPr="00B25FFC">
        <w:rPr>
          <w:rFonts w:ascii="Arial" w:eastAsia="Calibri" w:hAnsi="Arial" w:cs="Arial"/>
          <w:b/>
          <w:bCs/>
          <w:sz w:val="24"/>
          <w:szCs w:val="24"/>
        </w:rPr>
        <w:t xml:space="preserve">License and academic suitability: </w:t>
      </w:r>
      <w:r w:rsidRPr="00B25FFC">
        <w:rPr>
          <w:rFonts w:ascii="Arial" w:eastAsia="Calibri" w:hAnsi="Arial" w:cs="Arial"/>
          <w:sz w:val="24"/>
          <w:szCs w:val="24"/>
        </w:rPr>
        <w:t>The dataset is published by a U.S. government agency (NYC TLC) and is made freely available for public and research use, with no restrictions</w:t>
      </w:r>
      <w:r w:rsidR="007B1098" w:rsidRPr="00B25FFC">
        <w:rPr>
          <w:rFonts w:ascii="Arial" w:eastAsia="Calibri" w:hAnsi="Arial" w:cs="Arial"/>
          <w:sz w:val="24"/>
          <w:szCs w:val="24"/>
        </w:rPr>
        <w:t>,</w:t>
      </w:r>
      <w:r w:rsidRPr="00B25FFC">
        <w:rPr>
          <w:rFonts w:ascii="Arial" w:eastAsia="Calibri" w:hAnsi="Arial" w:cs="Arial"/>
          <w:sz w:val="24"/>
          <w:szCs w:val="24"/>
        </w:rPr>
        <w:t xml:space="preserve"> </w:t>
      </w:r>
      <w:r w:rsidR="007B1098" w:rsidRPr="00B25FFC">
        <w:rPr>
          <w:rFonts w:ascii="Arial" w:eastAsia="Calibri" w:hAnsi="Arial" w:cs="Arial"/>
          <w:sz w:val="24"/>
          <w:szCs w:val="24"/>
        </w:rPr>
        <w:t xml:space="preserve">as </w:t>
      </w:r>
      <w:r w:rsidRPr="00B25FFC">
        <w:rPr>
          <w:rFonts w:ascii="Arial" w:eastAsia="Calibri" w:hAnsi="Arial" w:cs="Arial"/>
          <w:sz w:val="24"/>
          <w:szCs w:val="24"/>
        </w:rPr>
        <w:t>no personally identifiable passenger or driver information is included</w:t>
      </w:r>
      <w:r w:rsidRPr="00B25FFC">
        <w:rPr>
          <w:rFonts w:ascii="Arial" w:eastAsia="Calibri" w:hAnsi="Arial" w:cs="Arial"/>
          <w:sz w:val="24"/>
          <w:szCs w:val="24"/>
        </w:rPr>
        <w:t xml:space="preserve">. </w:t>
      </w:r>
      <w:r w:rsidRPr="00B25FFC">
        <w:rPr>
          <w:rFonts w:ascii="Arial" w:eastAsia="Calibri" w:hAnsi="Arial" w:cs="Arial"/>
          <w:i/>
          <w:iCs/>
          <w:color w:val="FF0000"/>
          <w:sz w:val="24"/>
          <w:szCs w:val="24"/>
        </w:rPr>
        <w:t>[confirm exact licence/terms wording from the TLC site and cite it here]</w:t>
      </w:r>
    </w:p>
    <w:p w14:paraId="3CFC8579" w14:textId="1FE4BC14" w:rsidR="001A37F8" w:rsidRPr="00B25FFC" w:rsidRDefault="00DB3A3C" w:rsidP="007B1098">
      <w:pPr>
        <w:spacing w:after="100" w:line="276" w:lineRule="auto"/>
        <w:jc w:val="both"/>
        <w:rPr>
          <w:rFonts w:ascii="Arial" w:hAnsi="Arial" w:cs="Arial"/>
          <w:sz w:val="24"/>
          <w:szCs w:val="24"/>
        </w:rPr>
      </w:pPr>
      <w:r w:rsidRPr="00B25FFC">
        <w:rPr>
          <w:rFonts w:ascii="Arial" w:eastAsia="Calibri" w:hAnsi="Arial" w:cs="Arial"/>
          <w:b/>
          <w:bCs/>
          <w:sz w:val="24"/>
          <w:szCs w:val="24"/>
        </w:rPr>
        <w:t>2. Dataset Size and Characteristics</w:t>
      </w:r>
    </w:p>
    <w:p w14:paraId="3E9954E4" w14:textId="6BEFC800" w:rsidR="001A37F8" w:rsidRPr="00B25FFC" w:rsidRDefault="00DB3A3C" w:rsidP="003625EC">
      <w:pPr>
        <w:spacing w:after="100" w:line="276" w:lineRule="auto"/>
        <w:jc w:val="both"/>
        <w:rPr>
          <w:rFonts w:ascii="Arial" w:hAnsi="Arial" w:cs="Arial"/>
          <w:sz w:val="24"/>
          <w:szCs w:val="24"/>
        </w:rPr>
      </w:pPr>
      <w:r w:rsidRPr="00B25FFC">
        <w:rPr>
          <w:rFonts w:ascii="Arial" w:eastAsia="Calibri" w:hAnsi="Arial" w:cs="Arial"/>
          <w:sz w:val="24"/>
          <w:szCs w:val="24"/>
        </w:rPr>
        <w:t>Table 1 summarises the raw, working, and processing dataset sizes used in this project</w:t>
      </w:r>
      <w:r w:rsidR="007B1098" w:rsidRPr="00B25FFC">
        <w:rPr>
          <w:rFonts w:ascii="Arial" w:eastAsia="Calibri" w:hAnsi="Arial" w:cs="Arial"/>
          <w:sz w:val="24"/>
          <w:szCs w:val="24"/>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9"/>
        <w:gridCol w:w="2693"/>
        <w:gridCol w:w="4819"/>
      </w:tblGrid>
      <w:tr w:rsidR="007B1098" w:rsidRPr="00B25FFC" w14:paraId="6F7A17C2" w14:textId="77777777" w:rsidTr="007B1098">
        <w:tblPrEx>
          <w:tblCellMar>
            <w:top w:w="0" w:type="dxa"/>
            <w:bottom w:w="0" w:type="dxa"/>
          </w:tblCellMar>
        </w:tblPrEx>
        <w:tc>
          <w:tcPr>
            <w:tcW w:w="2689" w:type="dxa"/>
            <w:shd w:val="clear" w:color="auto" w:fill="1F4E5F"/>
            <w:tcMar>
              <w:top w:w="60" w:type="dxa"/>
              <w:left w:w="100" w:type="dxa"/>
              <w:bottom w:w="60" w:type="dxa"/>
              <w:right w:w="100" w:type="dxa"/>
            </w:tcMar>
          </w:tcPr>
          <w:p w14:paraId="1B5A71D1" w14:textId="77777777" w:rsidR="007B1098" w:rsidRPr="00B25FFC" w:rsidRDefault="007B1098" w:rsidP="003625EC">
            <w:pPr>
              <w:spacing w:line="276" w:lineRule="auto"/>
              <w:rPr>
                <w:rFonts w:ascii="Arial" w:hAnsi="Arial" w:cs="Arial"/>
                <w:color w:val="FFFFFF" w:themeColor="background1"/>
                <w:sz w:val="24"/>
                <w:szCs w:val="24"/>
              </w:rPr>
            </w:pPr>
            <w:r w:rsidRPr="00B25FFC">
              <w:rPr>
                <w:rFonts w:ascii="Arial" w:eastAsia="Calibri" w:hAnsi="Arial" w:cs="Arial"/>
                <w:b/>
                <w:bCs/>
                <w:color w:val="FFFFFF" w:themeColor="background1"/>
                <w:sz w:val="24"/>
                <w:szCs w:val="24"/>
              </w:rPr>
              <w:t>Stage</w:t>
            </w:r>
          </w:p>
        </w:tc>
        <w:tc>
          <w:tcPr>
            <w:tcW w:w="2693" w:type="dxa"/>
            <w:shd w:val="clear" w:color="auto" w:fill="1F4E5F"/>
            <w:tcMar>
              <w:top w:w="60" w:type="dxa"/>
              <w:left w:w="100" w:type="dxa"/>
              <w:bottom w:w="60" w:type="dxa"/>
              <w:right w:w="100" w:type="dxa"/>
            </w:tcMar>
          </w:tcPr>
          <w:p w14:paraId="77CD213C" w14:textId="77777777" w:rsidR="007B1098" w:rsidRPr="00B25FFC" w:rsidRDefault="007B1098" w:rsidP="003625EC">
            <w:pPr>
              <w:spacing w:line="276" w:lineRule="auto"/>
              <w:rPr>
                <w:rFonts w:ascii="Arial" w:hAnsi="Arial" w:cs="Arial"/>
                <w:color w:val="FFFFFF" w:themeColor="background1"/>
                <w:sz w:val="24"/>
                <w:szCs w:val="24"/>
              </w:rPr>
            </w:pPr>
            <w:r w:rsidRPr="00B25FFC">
              <w:rPr>
                <w:rFonts w:ascii="Arial" w:eastAsia="Calibri" w:hAnsi="Arial" w:cs="Arial"/>
                <w:b/>
                <w:bCs/>
                <w:color w:val="FFFFFF" w:themeColor="background1"/>
                <w:sz w:val="24"/>
                <w:szCs w:val="24"/>
              </w:rPr>
              <w:t>Size</w:t>
            </w:r>
          </w:p>
        </w:tc>
        <w:tc>
          <w:tcPr>
            <w:tcW w:w="4819" w:type="dxa"/>
            <w:shd w:val="clear" w:color="auto" w:fill="1F4E5F"/>
            <w:tcMar>
              <w:top w:w="60" w:type="dxa"/>
              <w:left w:w="100" w:type="dxa"/>
              <w:bottom w:w="60" w:type="dxa"/>
              <w:right w:w="100" w:type="dxa"/>
            </w:tcMar>
          </w:tcPr>
          <w:p w14:paraId="1380F17C" w14:textId="77777777" w:rsidR="007B1098" w:rsidRPr="00B25FFC" w:rsidRDefault="007B1098" w:rsidP="003625EC">
            <w:pPr>
              <w:spacing w:line="276" w:lineRule="auto"/>
              <w:rPr>
                <w:rFonts w:ascii="Arial" w:hAnsi="Arial" w:cs="Arial"/>
                <w:color w:val="FFFFFF" w:themeColor="background1"/>
                <w:sz w:val="24"/>
                <w:szCs w:val="24"/>
              </w:rPr>
            </w:pPr>
            <w:r w:rsidRPr="00B25FFC">
              <w:rPr>
                <w:rFonts w:ascii="Arial" w:eastAsia="Calibri" w:hAnsi="Arial" w:cs="Arial"/>
                <w:b/>
                <w:bCs/>
                <w:color w:val="FFFFFF" w:themeColor="background1"/>
                <w:sz w:val="24"/>
                <w:szCs w:val="24"/>
              </w:rPr>
              <w:t>Selection Method</w:t>
            </w:r>
          </w:p>
        </w:tc>
      </w:tr>
      <w:tr w:rsidR="007B1098" w:rsidRPr="00B25FFC" w14:paraId="077F4B61" w14:textId="77777777" w:rsidTr="007B1098">
        <w:tblPrEx>
          <w:tblCellMar>
            <w:top w:w="0" w:type="dxa"/>
            <w:bottom w:w="0" w:type="dxa"/>
          </w:tblCellMar>
        </w:tblPrEx>
        <w:tc>
          <w:tcPr>
            <w:tcW w:w="2689" w:type="dxa"/>
            <w:tcMar>
              <w:top w:w="60" w:type="dxa"/>
              <w:left w:w="100" w:type="dxa"/>
              <w:bottom w:w="60" w:type="dxa"/>
              <w:right w:w="100" w:type="dxa"/>
            </w:tcMar>
          </w:tcPr>
          <w:p w14:paraId="39EE58D9"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Raw</w:t>
            </w:r>
          </w:p>
        </w:tc>
        <w:tc>
          <w:tcPr>
            <w:tcW w:w="2693" w:type="dxa"/>
            <w:tcMar>
              <w:top w:w="60" w:type="dxa"/>
              <w:left w:w="100" w:type="dxa"/>
              <w:bottom w:w="60" w:type="dxa"/>
              <w:right w:w="100" w:type="dxa"/>
            </w:tcMar>
          </w:tcPr>
          <w:p w14:paraId="07D361EA"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color w:val="FF0000"/>
                <w:sz w:val="24"/>
                <w:szCs w:val="24"/>
              </w:rPr>
              <w:t>[XX.X] GB</w:t>
            </w:r>
          </w:p>
        </w:tc>
        <w:tc>
          <w:tcPr>
            <w:tcW w:w="4819" w:type="dxa"/>
            <w:tcMar>
              <w:top w:w="60" w:type="dxa"/>
              <w:left w:w="100" w:type="dxa"/>
              <w:bottom w:w="60" w:type="dxa"/>
              <w:right w:w="100" w:type="dxa"/>
            </w:tcMar>
          </w:tcPr>
          <w:p w14:paraId="536002C2"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Full monthly TLC files downloaded for candidate years</w:t>
            </w:r>
          </w:p>
        </w:tc>
      </w:tr>
      <w:tr w:rsidR="007B1098" w:rsidRPr="00B25FFC" w14:paraId="67500C45" w14:textId="77777777" w:rsidTr="007B1098">
        <w:tblPrEx>
          <w:tblCellMar>
            <w:top w:w="0" w:type="dxa"/>
            <w:bottom w:w="0" w:type="dxa"/>
          </w:tblCellMar>
        </w:tblPrEx>
        <w:tc>
          <w:tcPr>
            <w:tcW w:w="2689" w:type="dxa"/>
            <w:tcMar>
              <w:top w:w="60" w:type="dxa"/>
              <w:left w:w="100" w:type="dxa"/>
              <w:bottom w:w="60" w:type="dxa"/>
              <w:right w:w="100" w:type="dxa"/>
            </w:tcMar>
          </w:tcPr>
          <w:p w14:paraId="397B7678"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Working</w:t>
            </w:r>
          </w:p>
        </w:tc>
        <w:tc>
          <w:tcPr>
            <w:tcW w:w="2693" w:type="dxa"/>
            <w:tcMar>
              <w:top w:w="60" w:type="dxa"/>
              <w:left w:w="100" w:type="dxa"/>
              <w:bottom w:w="60" w:type="dxa"/>
              <w:right w:w="100" w:type="dxa"/>
            </w:tcMar>
          </w:tcPr>
          <w:p w14:paraId="507CB634" w14:textId="6529D86B" w:rsidR="007B1098" w:rsidRPr="00B25FFC" w:rsidRDefault="007B1098" w:rsidP="003625EC">
            <w:pPr>
              <w:spacing w:line="276" w:lineRule="auto"/>
              <w:rPr>
                <w:rFonts w:ascii="Arial" w:hAnsi="Arial" w:cs="Arial"/>
                <w:color w:val="FF0000"/>
                <w:sz w:val="24"/>
                <w:szCs w:val="24"/>
              </w:rPr>
            </w:pPr>
            <w:r w:rsidRPr="00B25FFC">
              <w:rPr>
                <w:rFonts w:ascii="Arial" w:eastAsia="Calibri" w:hAnsi="Arial" w:cs="Arial"/>
                <w:color w:val="FF0000"/>
                <w:sz w:val="24"/>
                <w:szCs w:val="24"/>
              </w:rPr>
              <w:t>[12.</w:t>
            </w:r>
            <w:r w:rsidR="00B42859" w:rsidRPr="00B25FFC">
              <w:rPr>
                <w:rFonts w:ascii="Arial" w:eastAsia="Calibri" w:hAnsi="Arial" w:cs="Arial"/>
                <w:color w:val="FF0000"/>
                <w:sz w:val="24"/>
                <w:szCs w:val="24"/>
              </w:rPr>
              <w:t>X</w:t>
            </w:r>
            <w:r w:rsidRPr="00B25FFC">
              <w:rPr>
                <w:rFonts w:ascii="Arial" w:eastAsia="Calibri" w:hAnsi="Arial" w:cs="Arial"/>
                <w:color w:val="FF0000"/>
                <w:sz w:val="24"/>
                <w:szCs w:val="24"/>
              </w:rPr>
              <w:t>] GB</w:t>
            </w:r>
          </w:p>
        </w:tc>
        <w:tc>
          <w:tcPr>
            <w:tcW w:w="4819" w:type="dxa"/>
            <w:tcMar>
              <w:top w:w="60" w:type="dxa"/>
              <w:left w:w="100" w:type="dxa"/>
              <w:bottom w:w="60" w:type="dxa"/>
              <w:right w:w="100" w:type="dxa"/>
            </w:tcMar>
          </w:tcPr>
          <w:p w14:paraId="5B66D636" w14:textId="7B64B2D5"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Selected from most recent data backwards until 12 GB or above.</w:t>
            </w:r>
          </w:p>
        </w:tc>
      </w:tr>
      <w:tr w:rsidR="007B1098" w:rsidRPr="00B25FFC" w14:paraId="1BE17BC1" w14:textId="77777777" w:rsidTr="007B1098">
        <w:tblPrEx>
          <w:tblCellMar>
            <w:top w:w="0" w:type="dxa"/>
            <w:bottom w:w="0" w:type="dxa"/>
          </w:tblCellMar>
        </w:tblPrEx>
        <w:tc>
          <w:tcPr>
            <w:tcW w:w="2689" w:type="dxa"/>
            <w:tcMar>
              <w:top w:w="60" w:type="dxa"/>
              <w:left w:w="100" w:type="dxa"/>
              <w:bottom w:w="60" w:type="dxa"/>
              <w:right w:w="100" w:type="dxa"/>
            </w:tcMar>
          </w:tcPr>
          <w:p w14:paraId="04F395FA"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Processing</w:t>
            </w:r>
          </w:p>
        </w:tc>
        <w:tc>
          <w:tcPr>
            <w:tcW w:w="2693" w:type="dxa"/>
            <w:tcMar>
              <w:top w:w="60" w:type="dxa"/>
              <w:left w:w="100" w:type="dxa"/>
              <w:bottom w:w="60" w:type="dxa"/>
              <w:right w:w="100" w:type="dxa"/>
            </w:tcMar>
          </w:tcPr>
          <w:p w14:paraId="0FCD424F"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color w:val="FF0000"/>
                <w:sz w:val="24"/>
                <w:szCs w:val="24"/>
              </w:rPr>
              <w:t>[3.X] GB</w:t>
            </w:r>
          </w:p>
        </w:tc>
        <w:tc>
          <w:tcPr>
            <w:tcW w:w="4819" w:type="dxa"/>
            <w:tcMar>
              <w:top w:w="60" w:type="dxa"/>
              <w:left w:w="100" w:type="dxa"/>
              <w:bottom w:w="60" w:type="dxa"/>
              <w:right w:w="100" w:type="dxa"/>
            </w:tcMar>
          </w:tcPr>
          <w:p w14:paraId="507583CD" w14:textId="77777777" w:rsidR="007B1098" w:rsidRPr="00B25FFC" w:rsidRDefault="007B1098" w:rsidP="003625EC">
            <w:pPr>
              <w:spacing w:line="276" w:lineRule="auto"/>
              <w:rPr>
                <w:rFonts w:ascii="Arial" w:hAnsi="Arial" w:cs="Arial"/>
                <w:sz w:val="24"/>
                <w:szCs w:val="24"/>
              </w:rPr>
            </w:pPr>
            <w:r w:rsidRPr="00B25FFC">
              <w:rPr>
                <w:rFonts w:ascii="Arial" w:eastAsia="Calibri" w:hAnsi="Arial" w:cs="Arial"/>
                <w:sz w:val="24"/>
                <w:szCs w:val="24"/>
              </w:rPr>
              <w:t>Random-seeded selection of whole monthly files from the working set</w:t>
            </w:r>
          </w:p>
        </w:tc>
      </w:tr>
    </w:tbl>
    <w:p w14:paraId="34556777" w14:textId="77777777" w:rsidR="001A37F8" w:rsidRPr="00B25FFC" w:rsidRDefault="001A37F8" w:rsidP="003625EC">
      <w:pPr>
        <w:spacing w:after="120" w:line="276" w:lineRule="auto"/>
        <w:rPr>
          <w:rFonts w:ascii="Arial" w:hAnsi="Arial" w:cs="Arial"/>
          <w:sz w:val="24"/>
          <w:szCs w:val="24"/>
        </w:rPr>
      </w:pPr>
    </w:p>
    <w:p w14:paraId="4B6F1D97" w14:textId="629C17C9" w:rsidR="001A37F8" w:rsidRPr="00B25FFC" w:rsidRDefault="00DB3A3C" w:rsidP="003625EC">
      <w:pPr>
        <w:spacing w:after="100" w:line="276" w:lineRule="auto"/>
        <w:jc w:val="both"/>
        <w:rPr>
          <w:rFonts w:ascii="Arial" w:hAnsi="Arial" w:cs="Arial"/>
          <w:sz w:val="24"/>
          <w:szCs w:val="24"/>
        </w:rPr>
      </w:pPr>
      <w:r w:rsidRPr="00B25FFC">
        <w:rPr>
          <w:rFonts w:ascii="Arial" w:eastAsia="Calibri" w:hAnsi="Arial" w:cs="Arial"/>
          <w:b/>
          <w:bCs/>
          <w:sz w:val="24"/>
          <w:szCs w:val="24"/>
        </w:rPr>
        <w:t xml:space="preserve">Format and characteristics: </w:t>
      </w:r>
      <w:r w:rsidRPr="00B25FFC">
        <w:rPr>
          <w:rFonts w:ascii="Arial" w:eastAsia="Calibri" w:hAnsi="Arial" w:cs="Arial"/>
          <w:sz w:val="24"/>
          <w:szCs w:val="24"/>
        </w:rPr>
        <w:t>Data is provided as CSV</w:t>
      </w:r>
      <w:r w:rsidR="00B42859" w:rsidRPr="00B25FFC">
        <w:rPr>
          <w:rFonts w:ascii="Arial" w:eastAsia="Calibri" w:hAnsi="Arial" w:cs="Arial"/>
          <w:sz w:val="24"/>
          <w:szCs w:val="24"/>
        </w:rPr>
        <w:t xml:space="preserve"> and parquet</w:t>
      </w:r>
      <w:r w:rsidRPr="00B25FFC">
        <w:rPr>
          <w:rFonts w:ascii="Arial" w:eastAsia="Calibri" w:hAnsi="Arial" w:cs="Arial"/>
          <w:sz w:val="24"/>
          <w:szCs w:val="24"/>
        </w:rPr>
        <w:t xml:space="preserve"> files </w:t>
      </w:r>
      <w:r w:rsidR="00EC4A1E" w:rsidRPr="00B25FFC">
        <w:rPr>
          <w:rFonts w:ascii="Arial" w:eastAsia="Calibri" w:hAnsi="Arial" w:cs="Arial"/>
          <w:sz w:val="24"/>
          <w:szCs w:val="24"/>
        </w:rPr>
        <w:t xml:space="preserve">compiled </w:t>
      </w:r>
      <w:proofErr w:type="gramStart"/>
      <w:r w:rsidR="00EC4A1E" w:rsidRPr="00B25FFC">
        <w:rPr>
          <w:rFonts w:ascii="Arial" w:eastAsia="Calibri" w:hAnsi="Arial" w:cs="Arial"/>
          <w:sz w:val="24"/>
          <w:szCs w:val="24"/>
        </w:rPr>
        <w:t>on a</w:t>
      </w:r>
      <w:r w:rsidRPr="00B25FFC">
        <w:rPr>
          <w:rFonts w:ascii="Arial" w:eastAsia="Calibri" w:hAnsi="Arial" w:cs="Arial"/>
          <w:sz w:val="24"/>
          <w:szCs w:val="24"/>
        </w:rPr>
        <w:t xml:space="preserve"> monthly</w:t>
      </w:r>
      <w:r w:rsidR="00EC4A1E" w:rsidRPr="00B25FFC">
        <w:rPr>
          <w:rFonts w:ascii="Arial" w:eastAsia="Calibri" w:hAnsi="Arial" w:cs="Arial"/>
          <w:sz w:val="24"/>
          <w:szCs w:val="24"/>
        </w:rPr>
        <w:t xml:space="preserve"> basis</w:t>
      </w:r>
      <w:proofErr w:type="gramEnd"/>
      <w:r w:rsidRPr="00B25FFC">
        <w:rPr>
          <w:rFonts w:ascii="Arial" w:eastAsia="Calibri" w:hAnsi="Arial" w:cs="Arial"/>
          <w:sz w:val="24"/>
          <w:szCs w:val="24"/>
        </w:rPr>
        <w:t xml:space="preserve">, comprising </w:t>
      </w:r>
      <w:r w:rsidRPr="00B25FFC">
        <w:rPr>
          <w:rFonts w:ascii="Arial" w:eastAsia="Calibri" w:hAnsi="Arial" w:cs="Arial"/>
          <w:sz w:val="24"/>
          <w:szCs w:val="24"/>
        </w:rPr>
        <w:t xml:space="preserve">columns </w:t>
      </w:r>
      <w:r w:rsidR="00EC4A1E" w:rsidRPr="00B25FFC">
        <w:rPr>
          <w:rFonts w:ascii="Arial" w:eastAsia="Calibri" w:hAnsi="Arial" w:cs="Arial"/>
          <w:sz w:val="24"/>
          <w:szCs w:val="24"/>
        </w:rPr>
        <w:t>such as</w:t>
      </w:r>
      <w:r w:rsidRPr="00B25FFC">
        <w:rPr>
          <w:rFonts w:ascii="Arial" w:eastAsia="Calibri" w:hAnsi="Arial" w:cs="Arial"/>
          <w:sz w:val="24"/>
          <w:szCs w:val="24"/>
        </w:rPr>
        <w:t xml:space="preserve"> pickup/drop-off timestamps, trip distance, passenger count, fare components, and payment type. </w:t>
      </w:r>
      <w:r w:rsidRPr="00B25FFC">
        <w:rPr>
          <w:rFonts w:ascii="Arial" w:eastAsia="Calibri" w:hAnsi="Arial" w:cs="Arial"/>
          <w:sz w:val="24"/>
          <w:szCs w:val="24"/>
        </w:rPr>
        <w:t>Data collection spans the period</w:t>
      </w:r>
      <w:r w:rsidRPr="00B25FFC">
        <w:rPr>
          <w:rFonts w:ascii="Arial" w:eastAsia="Calibri" w:hAnsi="Arial" w:cs="Arial"/>
          <w:i/>
          <w:iCs/>
          <w:sz w:val="24"/>
          <w:szCs w:val="24"/>
        </w:rPr>
        <w:t xml:space="preserve"> </w:t>
      </w:r>
      <w:r w:rsidRPr="00B25FFC">
        <w:rPr>
          <w:rFonts w:ascii="Arial" w:eastAsia="Calibri" w:hAnsi="Arial" w:cs="Arial"/>
          <w:sz w:val="24"/>
          <w:szCs w:val="24"/>
        </w:rPr>
        <w:t>201</w:t>
      </w:r>
      <w:r w:rsidR="00EC4A1E" w:rsidRPr="00B25FFC">
        <w:rPr>
          <w:rFonts w:ascii="Arial" w:eastAsia="Calibri" w:hAnsi="Arial" w:cs="Arial"/>
          <w:sz w:val="24"/>
          <w:szCs w:val="24"/>
        </w:rPr>
        <w:t>4</w:t>
      </w:r>
      <w:r w:rsidRPr="00B25FFC">
        <w:rPr>
          <w:rFonts w:ascii="Arial" w:eastAsia="Calibri" w:hAnsi="Arial" w:cs="Arial"/>
          <w:sz w:val="24"/>
          <w:szCs w:val="24"/>
        </w:rPr>
        <w:t xml:space="preserve"> – </w:t>
      </w:r>
      <w:r w:rsidRPr="00B25FFC">
        <w:rPr>
          <w:rFonts w:ascii="Arial" w:eastAsia="Calibri" w:hAnsi="Arial" w:cs="Arial"/>
          <w:sz w:val="24"/>
          <w:szCs w:val="24"/>
        </w:rPr>
        <w:t>20</w:t>
      </w:r>
      <w:r w:rsidR="00EC4A1E" w:rsidRPr="00B25FFC">
        <w:rPr>
          <w:rFonts w:ascii="Arial" w:eastAsia="Calibri" w:hAnsi="Arial" w:cs="Arial"/>
          <w:sz w:val="24"/>
          <w:szCs w:val="24"/>
        </w:rPr>
        <w:t>26.</w:t>
      </w:r>
    </w:p>
    <w:p w14:paraId="00CF1023" w14:textId="77777777" w:rsidR="001A37F8" w:rsidRPr="00B25FFC" w:rsidRDefault="00DB3A3C" w:rsidP="003625EC">
      <w:pPr>
        <w:pStyle w:val="Heading1"/>
        <w:spacing w:before="160" w:after="80" w:line="276" w:lineRule="auto"/>
        <w:rPr>
          <w:rFonts w:ascii="Arial" w:hAnsi="Arial" w:cs="Arial"/>
          <w:color w:val="auto"/>
          <w:sz w:val="24"/>
          <w:szCs w:val="24"/>
        </w:rPr>
      </w:pPr>
      <w:r w:rsidRPr="00B25FFC">
        <w:rPr>
          <w:rFonts w:ascii="Arial" w:eastAsia="Calibri" w:hAnsi="Arial" w:cs="Arial"/>
          <w:b/>
          <w:bCs/>
          <w:color w:val="auto"/>
          <w:sz w:val="24"/>
          <w:szCs w:val="24"/>
        </w:rPr>
        <w:t>3. Data Quality and Preparation</w:t>
      </w:r>
    </w:p>
    <w:p w14:paraId="22AABFDF"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color w:val="FF0000"/>
          <w:sz w:val="24"/>
          <w:szCs w:val="24"/>
        </w:rPr>
        <w:t>Prior to cleaning, candidate months were screened for column-schema consistency to avoid combining files with incompatible field names or structures (a known risk in this era of the dataset, given naming changes introduced in later TLC releases). Cleaning was then applied to the processing subset and included:</w:t>
      </w:r>
    </w:p>
    <w:p w14:paraId="0B8F877D"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t xml:space="preserve">Parsing and validating pickup/drop-off timestamps, removing </w:t>
      </w:r>
      <w:proofErr w:type="spellStart"/>
      <w:r w:rsidRPr="006E4A83">
        <w:rPr>
          <w:rFonts w:ascii="Arial" w:eastAsia="Calibri" w:hAnsi="Arial" w:cs="Arial"/>
          <w:color w:val="FF0000"/>
          <w:sz w:val="24"/>
          <w:szCs w:val="24"/>
        </w:rPr>
        <w:t>unparseable</w:t>
      </w:r>
      <w:proofErr w:type="spellEnd"/>
      <w:r w:rsidRPr="006E4A83">
        <w:rPr>
          <w:rFonts w:ascii="Arial" w:eastAsia="Calibri" w:hAnsi="Arial" w:cs="Arial"/>
          <w:color w:val="FF0000"/>
          <w:sz w:val="24"/>
          <w:szCs w:val="24"/>
        </w:rPr>
        <w:t xml:space="preserve"> records;</w:t>
      </w:r>
    </w:p>
    <w:p w14:paraId="1C4D6B3D"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t>Removing trips with non-positive or implausible duration (&gt;4 hours);</w:t>
      </w:r>
    </w:p>
    <w:p w14:paraId="6117D46B"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t>Removing trips with non-positive fares or fares exceeding a fixed upper bound;</w:t>
      </w:r>
    </w:p>
    <w:p w14:paraId="6A3CF97A"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t>Removing trips with non-positive or unrealistic distances (&gt;100 miles);</w:t>
      </w:r>
    </w:p>
    <w:p w14:paraId="403BB55B"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lastRenderedPageBreak/>
        <w:t>Restricting passenger counts to a plausible range (1–6);</w:t>
      </w:r>
    </w:p>
    <w:p w14:paraId="4DA93D73" w14:textId="77777777" w:rsidR="001A37F8" w:rsidRPr="006E4A83" w:rsidRDefault="00DB3A3C" w:rsidP="003625EC">
      <w:pPr>
        <w:pStyle w:val="ListParagraph"/>
        <w:numPr>
          <w:ilvl w:val="0"/>
          <w:numId w:val="2"/>
        </w:numPr>
        <w:spacing w:after="60" w:line="276" w:lineRule="auto"/>
        <w:rPr>
          <w:rFonts w:ascii="Arial" w:hAnsi="Arial" w:cs="Arial"/>
          <w:color w:val="FF0000"/>
          <w:sz w:val="24"/>
          <w:szCs w:val="24"/>
        </w:rPr>
      </w:pPr>
      <w:r w:rsidRPr="006E4A83">
        <w:rPr>
          <w:rFonts w:ascii="Arial" w:eastAsia="Calibri" w:hAnsi="Arial" w:cs="Arial"/>
          <w:color w:val="FF0000"/>
          <w:sz w:val="24"/>
          <w:szCs w:val="24"/>
        </w:rPr>
        <w:t>Removing exact duplicate records.</w:t>
      </w:r>
    </w:p>
    <w:p w14:paraId="70A73300"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color w:val="FF0000"/>
          <w:sz w:val="24"/>
          <w:szCs w:val="24"/>
        </w:rPr>
        <w:t xml:space="preserve">In total, </w:t>
      </w:r>
      <w:r w:rsidRPr="006E4A83">
        <w:rPr>
          <w:rFonts w:ascii="Arial" w:eastAsia="Calibri" w:hAnsi="Arial" w:cs="Arial"/>
          <w:i/>
          <w:iCs/>
          <w:color w:val="FF0000"/>
          <w:sz w:val="24"/>
          <w:szCs w:val="24"/>
        </w:rPr>
        <w:t>[X]%</w:t>
      </w:r>
      <w:r w:rsidRPr="006E4A83">
        <w:rPr>
          <w:rFonts w:ascii="Arial" w:eastAsia="Calibri" w:hAnsi="Arial" w:cs="Arial"/>
          <w:color w:val="FF0000"/>
          <w:sz w:val="24"/>
          <w:szCs w:val="24"/>
        </w:rPr>
        <w:t xml:space="preserve"> of rows in the processing subset were removed during cleaning (see Appendix, Table A1, for a full breakdown by rule). Data quality concerns identified include: </w:t>
      </w:r>
      <w:r w:rsidRPr="006E4A83">
        <w:rPr>
          <w:rFonts w:ascii="Arial" w:eastAsia="Calibri" w:hAnsi="Arial" w:cs="Arial"/>
          <w:i/>
          <w:iCs/>
          <w:color w:val="FF0000"/>
          <w:sz w:val="24"/>
          <w:szCs w:val="24"/>
        </w:rPr>
        <w:t>[e.g. inconsistent vendor-code encoding between early and later months, missing timestamp values in a small proportion of records, potential under-representation of trips paid in cash relative to card in this era]</w:t>
      </w:r>
      <w:r w:rsidRPr="006E4A83">
        <w:rPr>
          <w:rFonts w:ascii="Arial" w:eastAsia="Calibri" w:hAnsi="Arial" w:cs="Arial"/>
          <w:color w:val="FF0000"/>
          <w:sz w:val="24"/>
          <w:szCs w:val="24"/>
        </w:rPr>
        <w:t>.</w:t>
      </w:r>
    </w:p>
    <w:p w14:paraId="595C791D"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i/>
          <w:iCs/>
          <w:color w:val="FF0000"/>
          <w:sz w:val="24"/>
          <w:szCs w:val="24"/>
        </w:rPr>
        <w:t xml:space="preserve">Due to the compute resources available (Google </w:t>
      </w:r>
      <w:proofErr w:type="spellStart"/>
      <w:r w:rsidRPr="006E4A83">
        <w:rPr>
          <w:rFonts w:ascii="Arial" w:eastAsia="Calibri" w:hAnsi="Arial" w:cs="Arial"/>
          <w:i/>
          <w:iCs/>
          <w:color w:val="FF0000"/>
          <w:sz w:val="24"/>
          <w:szCs w:val="24"/>
        </w:rPr>
        <w:t>Colab</w:t>
      </w:r>
      <w:proofErr w:type="spellEnd"/>
      <w:r w:rsidRPr="006E4A83">
        <w:rPr>
          <w:rFonts w:ascii="Arial" w:eastAsia="Calibri" w:hAnsi="Arial" w:cs="Arial"/>
          <w:i/>
          <w:iCs/>
          <w:color w:val="FF0000"/>
          <w:sz w:val="24"/>
          <w:szCs w:val="24"/>
        </w:rPr>
        <w:t>), data quality assessment and exploratory analysis (Section 4) were performed on the processing subset rather than the full working dataset; this trade-off is discussed further as a limitation in Section 6.</w:t>
      </w:r>
    </w:p>
    <w:p w14:paraId="4B9F3FF3" w14:textId="77777777" w:rsidR="001A37F8" w:rsidRPr="006E4A83" w:rsidRDefault="00DB3A3C" w:rsidP="003625EC">
      <w:pPr>
        <w:pStyle w:val="Heading1"/>
        <w:spacing w:before="160" w:after="80" w:line="276" w:lineRule="auto"/>
        <w:rPr>
          <w:rFonts w:ascii="Arial" w:hAnsi="Arial" w:cs="Arial"/>
          <w:color w:val="FF0000"/>
          <w:sz w:val="24"/>
          <w:szCs w:val="24"/>
        </w:rPr>
      </w:pPr>
      <w:r w:rsidRPr="006E4A83">
        <w:rPr>
          <w:rFonts w:ascii="Arial" w:eastAsia="Calibri" w:hAnsi="Arial" w:cs="Arial"/>
          <w:b/>
          <w:bCs/>
          <w:color w:val="FF0000"/>
          <w:sz w:val="24"/>
          <w:szCs w:val="24"/>
        </w:rPr>
        <w:t>4. Exploratory Data Analysis</w:t>
      </w:r>
    </w:p>
    <w:p w14:paraId="37653521"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color w:val="FF0000"/>
          <w:sz w:val="24"/>
          <w:szCs w:val="24"/>
        </w:rPr>
        <w:t xml:space="preserve">Exploratory analysis of the cleaned processing dataset reveals </w:t>
      </w:r>
      <w:r w:rsidRPr="006E4A83">
        <w:rPr>
          <w:rFonts w:ascii="Arial" w:eastAsia="Calibri" w:hAnsi="Arial" w:cs="Arial"/>
          <w:i/>
          <w:iCs/>
          <w:color w:val="FF0000"/>
          <w:sz w:val="24"/>
          <w:szCs w:val="24"/>
        </w:rPr>
        <w:t>[summarise 2–3 key findings, e.g. "a strong diurnal pattern in trip volume, peaking during evening commute hours (17:00–19:00) and troughing overnight", "a right-skewed fare distribution consistent with a small proportion of long-distance/airport trips", "weekday trip volumes approximately 20% higher than weekend volumes"]</w:t>
      </w:r>
      <w:r w:rsidRPr="006E4A83">
        <w:rPr>
          <w:rFonts w:ascii="Arial" w:eastAsia="Calibri" w:hAnsi="Arial" w:cs="Arial"/>
          <w:color w:val="FF0000"/>
          <w:sz w:val="24"/>
          <w:szCs w:val="24"/>
        </w:rPr>
        <w:t>. Full distribution plots, a time-series of daily trip volume, and an hour-by-day-of-week heatmap are provided in the Appendix (Figures A1–A4).</w:t>
      </w:r>
    </w:p>
    <w:p w14:paraId="40B40363" w14:textId="77777777" w:rsidR="001A37F8" w:rsidRPr="00B25FFC" w:rsidRDefault="00DB3A3C" w:rsidP="003625EC">
      <w:pPr>
        <w:pStyle w:val="Heading1"/>
        <w:spacing w:before="160" w:after="80" w:line="276" w:lineRule="auto"/>
        <w:rPr>
          <w:rFonts w:ascii="Arial" w:hAnsi="Arial" w:cs="Arial"/>
          <w:color w:val="auto"/>
          <w:sz w:val="24"/>
          <w:szCs w:val="24"/>
        </w:rPr>
      </w:pPr>
      <w:r w:rsidRPr="00B25FFC">
        <w:rPr>
          <w:rFonts w:ascii="Arial" w:eastAsia="Calibri" w:hAnsi="Arial" w:cs="Arial"/>
          <w:b/>
          <w:bCs/>
          <w:color w:val="auto"/>
          <w:sz w:val="24"/>
          <w:szCs w:val="24"/>
        </w:rPr>
        <w:t>5. The 7 Vs of Big Data</w:t>
      </w:r>
    </w:p>
    <w:p w14:paraId="54F2C2FB"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Volume: </w:t>
      </w:r>
      <w:r w:rsidRPr="006E4A83">
        <w:rPr>
          <w:rFonts w:ascii="Arial" w:eastAsia="Calibri" w:hAnsi="Arial" w:cs="Arial"/>
          <w:i/>
          <w:iCs/>
          <w:color w:val="FF0000"/>
          <w:sz w:val="24"/>
          <w:szCs w:val="24"/>
        </w:rPr>
        <w:t>[state raw/working/processing GB and processing row count from Table 1]</w:t>
      </w:r>
    </w:p>
    <w:p w14:paraId="002F051C"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Velocity: </w:t>
      </w:r>
      <w:r w:rsidRPr="006E4A83">
        <w:rPr>
          <w:rFonts w:ascii="Arial" w:eastAsia="Calibri" w:hAnsi="Arial" w:cs="Arial"/>
          <w:i/>
          <w:iCs/>
          <w:color w:val="FF0000"/>
          <w:sz w:val="24"/>
          <w:szCs w:val="24"/>
        </w:rPr>
        <w:t>[state date range and average trips/day in the sample; note TLC's ongoing monthly publication cadence for the full data source]</w:t>
      </w:r>
    </w:p>
    <w:p w14:paraId="26E3A232"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Variety: </w:t>
      </w:r>
      <w:r w:rsidRPr="006E4A83">
        <w:rPr>
          <w:rFonts w:ascii="Arial" w:eastAsia="Calibri" w:hAnsi="Arial" w:cs="Arial"/>
          <w:i/>
          <w:iCs/>
          <w:color w:val="FF0000"/>
          <w:sz w:val="24"/>
          <w:szCs w:val="24"/>
        </w:rPr>
        <w:t>[state number of columns, data type mix, and count of distinct payment types/vendors observed]</w:t>
      </w:r>
    </w:p>
    <w:p w14:paraId="05D2134A"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Veracity: </w:t>
      </w:r>
      <w:r w:rsidRPr="006E4A83">
        <w:rPr>
          <w:rFonts w:ascii="Arial" w:eastAsia="Calibri" w:hAnsi="Arial" w:cs="Arial"/>
          <w:i/>
          <w:iCs/>
          <w:color w:val="FF0000"/>
          <w:sz w:val="24"/>
          <w:szCs w:val="24"/>
        </w:rPr>
        <w:t>[cite cleaning removal percentage and specific quality issues found, e.g. missing timestamps, vendor-code inconsistencies]</w:t>
      </w:r>
    </w:p>
    <w:p w14:paraId="673AA571"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Variability: </w:t>
      </w:r>
      <w:r w:rsidRPr="006E4A83">
        <w:rPr>
          <w:rFonts w:ascii="Arial" w:eastAsia="Calibri" w:hAnsi="Arial" w:cs="Arial"/>
          <w:i/>
          <w:iCs/>
          <w:color w:val="FF0000"/>
          <w:sz w:val="24"/>
          <w:szCs w:val="24"/>
        </w:rPr>
        <w:t>[cite the hourly fare/volume fluctuation range found in EDA]</w:t>
      </w:r>
    </w:p>
    <w:p w14:paraId="4FE9DCA8"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Visualization: </w:t>
      </w:r>
      <w:r w:rsidRPr="006E4A83">
        <w:rPr>
          <w:rFonts w:ascii="Arial" w:eastAsia="Calibri" w:hAnsi="Arial" w:cs="Arial"/>
          <w:i/>
          <w:iCs/>
          <w:color w:val="FF0000"/>
          <w:sz w:val="24"/>
          <w:szCs w:val="24"/>
        </w:rPr>
        <w:t xml:space="preserve">[reference specific appendix figures and what pattern each </w:t>
      </w:r>
      <w:proofErr w:type="gramStart"/>
      <w:r w:rsidRPr="006E4A83">
        <w:rPr>
          <w:rFonts w:ascii="Arial" w:eastAsia="Calibri" w:hAnsi="Arial" w:cs="Arial"/>
          <w:i/>
          <w:iCs/>
          <w:color w:val="FF0000"/>
          <w:sz w:val="24"/>
          <w:szCs w:val="24"/>
        </w:rPr>
        <w:t>reveals</w:t>
      </w:r>
      <w:proofErr w:type="gramEnd"/>
      <w:r w:rsidRPr="006E4A83">
        <w:rPr>
          <w:rFonts w:ascii="Arial" w:eastAsia="Calibri" w:hAnsi="Arial" w:cs="Arial"/>
          <w:i/>
          <w:iCs/>
          <w:color w:val="FF0000"/>
          <w:sz w:val="24"/>
          <w:szCs w:val="24"/>
        </w:rPr>
        <w:t>]</w:t>
      </w:r>
    </w:p>
    <w:p w14:paraId="59C2F57E" w14:textId="77777777" w:rsidR="001A37F8" w:rsidRPr="006E4A83" w:rsidRDefault="00DB3A3C" w:rsidP="003625EC">
      <w:pPr>
        <w:spacing w:after="100" w:line="276" w:lineRule="auto"/>
        <w:jc w:val="both"/>
        <w:rPr>
          <w:rFonts w:ascii="Arial" w:hAnsi="Arial" w:cs="Arial"/>
          <w:color w:val="FF0000"/>
          <w:sz w:val="24"/>
          <w:szCs w:val="24"/>
        </w:rPr>
      </w:pPr>
      <w:r w:rsidRPr="006E4A83">
        <w:rPr>
          <w:rFonts w:ascii="Arial" w:eastAsia="Calibri" w:hAnsi="Arial" w:cs="Arial"/>
          <w:b/>
          <w:bCs/>
          <w:color w:val="FF0000"/>
          <w:sz w:val="24"/>
          <w:szCs w:val="24"/>
        </w:rPr>
        <w:t xml:space="preserve">Value: </w:t>
      </w:r>
      <w:r w:rsidRPr="006E4A83">
        <w:rPr>
          <w:rFonts w:ascii="Arial" w:eastAsia="Calibri" w:hAnsi="Arial" w:cs="Arial"/>
          <w:i/>
          <w:iCs/>
          <w:color w:val="FF0000"/>
          <w:sz w:val="24"/>
          <w:szCs w:val="24"/>
        </w:rPr>
        <w:t>[state 1–2 concrete business/societal applications, e.g. informing fleet allocation by hour and zone, or congestion-pricing policy]</w:t>
      </w:r>
    </w:p>
    <w:p w14:paraId="2750C229" w14:textId="77777777" w:rsidR="001A37F8" w:rsidRPr="00B25FFC" w:rsidRDefault="00DB3A3C" w:rsidP="003625EC">
      <w:pPr>
        <w:pStyle w:val="Heading1"/>
        <w:spacing w:before="160" w:after="80" w:line="276" w:lineRule="auto"/>
        <w:rPr>
          <w:rFonts w:ascii="Arial" w:hAnsi="Arial" w:cs="Arial"/>
          <w:color w:val="auto"/>
          <w:sz w:val="24"/>
          <w:szCs w:val="24"/>
        </w:rPr>
      </w:pPr>
      <w:r w:rsidRPr="00B25FFC">
        <w:rPr>
          <w:rFonts w:ascii="Arial" w:eastAsia="Calibri" w:hAnsi="Arial" w:cs="Arial"/>
          <w:b/>
          <w:bCs/>
          <w:color w:val="auto"/>
          <w:sz w:val="24"/>
          <w:szCs w:val="24"/>
        </w:rPr>
        <w:t>6. Business/Societal Value and Limitations</w:t>
      </w:r>
    </w:p>
    <w:p w14:paraId="60355B23" w14:textId="77777777" w:rsidR="001A37F8" w:rsidRPr="00B25FFC" w:rsidRDefault="00DB3A3C" w:rsidP="003625EC">
      <w:pPr>
        <w:spacing w:after="100" w:line="276" w:lineRule="auto"/>
        <w:jc w:val="both"/>
        <w:rPr>
          <w:rFonts w:ascii="Arial" w:hAnsi="Arial" w:cs="Arial"/>
          <w:sz w:val="24"/>
          <w:szCs w:val="24"/>
        </w:rPr>
      </w:pPr>
      <w:r w:rsidRPr="00B25FFC">
        <w:rPr>
          <w:rFonts w:ascii="Arial" w:eastAsia="Calibri" w:hAnsi="Arial" w:cs="Arial"/>
          <w:sz w:val="24"/>
          <w:szCs w:val="24"/>
        </w:rPr>
        <w:t>This dataset offers clear operational and policy value: trip-level patterns can inform taxi fleet allocation and driver shift planning by time of day, support congestion and pricing policy analysis, and help identify underserved pickup areas for transport equity considerations.</w:t>
      </w:r>
    </w:p>
    <w:p w14:paraId="79F6290D" w14:textId="77777777" w:rsidR="001A37F8" w:rsidRPr="00B25FFC" w:rsidRDefault="00DB3A3C" w:rsidP="003625EC">
      <w:pPr>
        <w:spacing w:after="60" w:line="276" w:lineRule="auto"/>
        <w:jc w:val="both"/>
        <w:rPr>
          <w:rFonts w:ascii="Arial" w:hAnsi="Arial" w:cs="Arial"/>
          <w:sz w:val="24"/>
          <w:szCs w:val="24"/>
        </w:rPr>
      </w:pPr>
      <w:r w:rsidRPr="00B25FFC">
        <w:rPr>
          <w:rFonts w:ascii="Arial" w:eastAsia="Calibri" w:hAnsi="Arial" w:cs="Arial"/>
          <w:sz w:val="24"/>
          <w:szCs w:val="24"/>
        </w:rPr>
        <w:t>At least two limitations should be noted:</w:t>
      </w:r>
    </w:p>
    <w:p w14:paraId="7391C1AB" w14:textId="77777777" w:rsidR="001A37F8" w:rsidRPr="00B25FFC" w:rsidRDefault="00DB3A3C" w:rsidP="003625EC">
      <w:pPr>
        <w:pStyle w:val="ListParagraph"/>
        <w:numPr>
          <w:ilvl w:val="0"/>
          <w:numId w:val="2"/>
        </w:numPr>
        <w:spacing w:after="60" w:line="276" w:lineRule="auto"/>
        <w:rPr>
          <w:rFonts w:ascii="Arial" w:hAnsi="Arial" w:cs="Arial"/>
          <w:sz w:val="24"/>
          <w:szCs w:val="24"/>
        </w:rPr>
      </w:pPr>
      <w:r w:rsidRPr="00B25FFC">
        <w:rPr>
          <w:rFonts w:ascii="Arial" w:eastAsia="Calibri" w:hAnsi="Arial" w:cs="Arial"/>
          <w:sz w:val="24"/>
          <w:szCs w:val="24"/>
        </w:rPr>
        <w:t>Historical scope: data from this period does not reflect current NYC transport patterns, given the subsequent entry of ride-hailing services (Uber, Lyft) and post-pandemic shifts in commuting and travel behaviour.</w:t>
      </w:r>
    </w:p>
    <w:p w14:paraId="39BFB754" w14:textId="77777777" w:rsidR="001A37F8" w:rsidRPr="00B25FFC" w:rsidRDefault="00DB3A3C" w:rsidP="003625EC">
      <w:pPr>
        <w:pStyle w:val="ListParagraph"/>
        <w:numPr>
          <w:ilvl w:val="0"/>
          <w:numId w:val="2"/>
        </w:numPr>
        <w:spacing w:after="60" w:line="276" w:lineRule="auto"/>
        <w:rPr>
          <w:rFonts w:ascii="Arial" w:hAnsi="Arial" w:cs="Arial"/>
          <w:sz w:val="24"/>
          <w:szCs w:val="24"/>
        </w:rPr>
      </w:pPr>
      <w:r w:rsidRPr="00B25FFC">
        <w:rPr>
          <w:rFonts w:ascii="Arial" w:eastAsia="Calibri" w:hAnsi="Arial" w:cs="Arial"/>
          <w:sz w:val="24"/>
          <w:szCs w:val="24"/>
        </w:rPr>
        <w:lastRenderedPageBreak/>
        <w:t xml:space="preserve">Partial representativeness: analysis was conducted on a processing subset rather than the full working dataset due to compute constraints, and the dataset covers only yellow taxis — excluding green taxis, for-hire vehicles, and rideshare — limiting its representativeness of NYC transport </w:t>
      </w:r>
      <w:proofErr w:type="gramStart"/>
      <w:r w:rsidRPr="00B25FFC">
        <w:rPr>
          <w:rFonts w:ascii="Arial" w:eastAsia="Calibri" w:hAnsi="Arial" w:cs="Arial"/>
          <w:sz w:val="24"/>
          <w:szCs w:val="24"/>
        </w:rPr>
        <w:t>demand as a whole</w:t>
      </w:r>
      <w:proofErr w:type="gramEnd"/>
      <w:r w:rsidRPr="00B25FFC">
        <w:rPr>
          <w:rFonts w:ascii="Arial" w:eastAsia="Calibri" w:hAnsi="Arial" w:cs="Arial"/>
          <w:sz w:val="24"/>
          <w:szCs w:val="24"/>
        </w:rPr>
        <w:t>.</w:t>
      </w:r>
    </w:p>
    <w:p w14:paraId="0AE8F540" w14:textId="77777777" w:rsidR="001A37F8" w:rsidRPr="00B25FFC" w:rsidRDefault="00DB3A3C" w:rsidP="003625EC">
      <w:pPr>
        <w:pStyle w:val="Heading1"/>
        <w:spacing w:before="160" w:after="80" w:line="276" w:lineRule="auto"/>
        <w:rPr>
          <w:rFonts w:ascii="Arial" w:hAnsi="Arial" w:cs="Arial"/>
          <w:color w:val="auto"/>
          <w:sz w:val="24"/>
          <w:szCs w:val="24"/>
        </w:rPr>
      </w:pPr>
      <w:r w:rsidRPr="00B25FFC">
        <w:rPr>
          <w:rFonts w:ascii="Arial" w:eastAsia="Calibri" w:hAnsi="Arial" w:cs="Arial"/>
          <w:b/>
          <w:bCs/>
          <w:color w:val="auto"/>
          <w:sz w:val="24"/>
          <w:szCs w:val="24"/>
        </w:rPr>
        <w:t>7. GitHub Repository</w:t>
      </w:r>
    </w:p>
    <w:p w14:paraId="261542A9" w14:textId="34B55C73" w:rsidR="001A37F8" w:rsidRPr="00B25FFC" w:rsidRDefault="00DB3A3C" w:rsidP="003625EC">
      <w:pPr>
        <w:spacing w:after="100" w:line="276" w:lineRule="auto"/>
        <w:jc w:val="both"/>
        <w:rPr>
          <w:rFonts w:ascii="Arial" w:hAnsi="Arial" w:cs="Arial"/>
          <w:sz w:val="24"/>
          <w:szCs w:val="24"/>
        </w:rPr>
      </w:pPr>
      <w:r w:rsidRPr="00B25FFC">
        <w:rPr>
          <w:rFonts w:ascii="Arial" w:eastAsia="Calibri" w:hAnsi="Arial" w:cs="Arial"/>
          <w:b/>
          <w:bCs/>
          <w:sz w:val="24"/>
          <w:szCs w:val="24"/>
        </w:rPr>
        <w:t xml:space="preserve">Project repository: </w:t>
      </w:r>
      <w:r w:rsidRPr="00B25FFC">
        <w:rPr>
          <w:rFonts w:ascii="Arial" w:eastAsia="Calibri" w:hAnsi="Arial" w:cs="Arial"/>
          <w:i/>
          <w:iCs/>
          <w:color w:val="FF0000"/>
          <w:sz w:val="24"/>
          <w:szCs w:val="24"/>
        </w:rPr>
        <w:t>[</w:t>
      </w:r>
      <w:r w:rsidRPr="00B25FFC">
        <w:rPr>
          <w:rFonts w:ascii="Arial" w:eastAsia="Calibri" w:hAnsi="Arial" w:cs="Arial"/>
          <w:i/>
          <w:iCs/>
          <w:color w:val="FF0000"/>
          <w:sz w:val="24"/>
          <w:szCs w:val="24"/>
        </w:rPr>
        <w:t>GitHub</w:t>
      </w:r>
      <w:r w:rsidR="003625EC" w:rsidRPr="00B25FFC">
        <w:rPr>
          <w:rFonts w:ascii="Arial" w:eastAsia="Calibri" w:hAnsi="Arial" w:cs="Arial"/>
          <w:i/>
          <w:iCs/>
          <w:color w:val="FF0000"/>
          <w:sz w:val="24"/>
          <w:szCs w:val="24"/>
        </w:rPr>
        <w:t xml:space="preserve"> </w:t>
      </w:r>
      <w:r w:rsidRPr="00B25FFC">
        <w:rPr>
          <w:rFonts w:ascii="Arial" w:eastAsia="Calibri" w:hAnsi="Arial" w:cs="Arial"/>
          <w:i/>
          <w:iCs/>
          <w:color w:val="FF0000"/>
          <w:sz w:val="24"/>
          <w:szCs w:val="24"/>
        </w:rPr>
        <w:t>URL]</w:t>
      </w:r>
    </w:p>
    <w:sectPr w:rsidR="001A37F8" w:rsidRPr="00B25FFC">
      <w:headerReference w:type="default" r:id="rId8"/>
      <w:footerReference w:type="default" r:id="rId9"/>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DF21" w14:textId="77777777" w:rsidR="00DB3A3C" w:rsidRDefault="00DB3A3C">
      <w:r>
        <w:separator/>
      </w:r>
    </w:p>
  </w:endnote>
  <w:endnote w:type="continuationSeparator" w:id="0">
    <w:p w14:paraId="49874228" w14:textId="77777777" w:rsidR="00DB3A3C" w:rsidRDefault="00DB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264A" w14:textId="77777777" w:rsidR="001A37F8" w:rsidRDefault="00DB3A3C">
    <w:pPr>
      <w:jc w:val="center"/>
    </w:pPr>
    <w:r>
      <w:rPr>
        <w:rFonts w:ascii="Calibri" w:eastAsia="Calibri" w:hAnsi="Calibri" w:cs="Calibri"/>
        <w:color w:val="808080"/>
        <w:sz w:val="16"/>
        <w:szCs w:val="16"/>
      </w:rPr>
      <w:t xml:space="preserve">Page </w:t>
    </w:r>
    <w:r>
      <w:rPr>
        <w:rFonts w:ascii="Calibri" w:eastAsia="Calibri" w:hAnsi="Calibri" w:cs="Calibri"/>
        <w:color w:val="808080"/>
        <w:sz w:val="16"/>
        <w:szCs w:val="16"/>
      </w:rPr>
      <w:fldChar w:fldCharType="begin"/>
    </w:r>
    <w:r>
      <w:rPr>
        <w:rFonts w:ascii="Calibri" w:eastAsia="Calibri" w:hAnsi="Calibri" w:cs="Calibri"/>
        <w:color w:val="808080"/>
        <w:sz w:val="16"/>
        <w:szCs w:val="16"/>
      </w:rPr>
      <w:instrText>PAGE</w:instrText>
    </w:r>
    <w:r>
      <w:rPr>
        <w:rFonts w:ascii="Calibri" w:eastAsia="Calibri" w:hAnsi="Calibri" w:cs="Calibri"/>
        <w:color w:val="808080"/>
        <w:sz w:val="16"/>
        <w:szCs w:val="16"/>
      </w:rPr>
      <w:fldChar w:fldCharType="separate"/>
    </w:r>
    <w:r w:rsidR="003625EC">
      <w:rPr>
        <w:rFonts w:ascii="Calibri" w:eastAsia="Calibri" w:hAnsi="Calibri" w:cs="Calibri"/>
        <w:noProof/>
        <w:color w:val="808080"/>
        <w:sz w:val="16"/>
        <w:szCs w:val="16"/>
      </w:rPr>
      <w:t>1</w:t>
    </w:r>
    <w:r>
      <w:rPr>
        <w:rFonts w:ascii="Calibri" w:eastAsia="Calibri" w:hAnsi="Calibri" w:cs="Calibri"/>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851B" w14:textId="77777777" w:rsidR="00DB3A3C" w:rsidRDefault="00DB3A3C">
      <w:r>
        <w:separator/>
      </w:r>
    </w:p>
  </w:footnote>
  <w:footnote w:type="continuationSeparator" w:id="0">
    <w:p w14:paraId="3BD6B8A4" w14:textId="77777777" w:rsidR="00DB3A3C" w:rsidRDefault="00DB3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4BD93" w14:textId="0C172D7A" w:rsidR="001A37F8" w:rsidRDefault="001A37F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7C3950"/>
    <w:multiLevelType w:val="hybridMultilevel"/>
    <w:tmpl w:val="DFF2E53C"/>
    <w:lvl w:ilvl="0" w:tplc="B08C818E">
      <w:start w:val="1"/>
      <w:numFmt w:val="bullet"/>
      <w:lvlText w:val="●"/>
      <w:lvlJc w:val="left"/>
      <w:pPr>
        <w:ind w:left="720" w:hanging="360"/>
      </w:pPr>
    </w:lvl>
    <w:lvl w:ilvl="1" w:tplc="8AD45C50">
      <w:start w:val="1"/>
      <w:numFmt w:val="bullet"/>
      <w:lvlText w:val="○"/>
      <w:lvlJc w:val="left"/>
      <w:pPr>
        <w:ind w:left="1440" w:hanging="360"/>
      </w:pPr>
    </w:lvl>
    <w:lvl w:ilvl="2" w:tplc="D766E888">
      <w:start w:val="1"/>
      <w:numFmt w:val="bullet"/>
      <w:lvlText w:val="■"/>
      <w:lvlJc w:val="left"/>
      <w:pPr>
        <w:ind w:left="2160" w:hanging="360"/>
      </w:pPr>
    </w:lvl>
    <w:lvl w:ilvl="3" w:tplc="2D06A9C6">
      <w:start w:val="1"/>
      <w:numFmt w:val="bullet"/>
      <w:lvlText w:val="●"/>
      <w:lvlJc w:val="left"/>
      <w:pPr>
        <w:ind w:left="2880" w:hanging="360"/>
      </w:pPr>
    </w:lvl>
    <w:lvl w:ilvl="4" w:tplc="C24A0A4E">
      <w:start w:val="1"/>
      <w:numFmt w:val="bullet"/>
      <w:lvlText w:val="○"/>
      <w:lvlJc w:val="left"/>
      <w:pPr>
        <w:ind w:left="3600" w:hanging="360"/>
      </w:pPr>
    </w:lvl>
    <w:lvl w:ilvl="5" w:tplc="BDC6EBCA">
      <w:start w:val="1"/>
      <w:numFmt w:val="bullet"/>
      <w:lvlText w:val="■"/>
      <w:lvlJc w:val="left"/>
      <w:pPr>
        <w:ind w:left="4320" w:hanging="360"/>
      </w:pPr>
    </w:lvl>
    <w:lvl w:ilvl="6" w:tplc="490A94C8">
      <w:start w:val="1"/>
      <w:numFmt w:val="bullet"/>
      <w:lvlText w:val="●"/>
      <w:lvlJc w:val="left"/>
      <w:pPr>
        <w:ind w:left="5040" w:hanging="360"/>
      </w:pPr>
    </w:lvl>
    <w:lvl w:ilvl="7" w:tplc="4B36CA2A">
      <w:start w:val="1"/>
      <w:numFmt w:val="bullet"/>
      <w:lvlText w:val="●"/>
      <w:lvlJc w:val="left"/>
      <w:pPr>
        <w:ind w:left="5760" w:hanging="360"/>
      </w:pPr>
    </w:lvl>
    <w:lvl w:ilvl="8" w:tplc="3A8EB210">
      <w:start w:val="1"/>
      <w:numFmt w:val="bullet"/>
      <w:lvlText w:val="●"/>
      <w:lvlJc w:val="left"/>
      <w:pPr>
        <w:ind w:left="6480" w:hanging="360"/>
      </w:pPr>
    </w:lvl>
  </w:abstractNum>
  <w:abstractNum w:abstractNumId="1" w15:restartNumberingAfterBreak="0">
    <w:nsid w:val="7D6267E1"/>
    <w:multiLevelType w:val="hybridMultilevel"/>
    <w:tmpl w:val="CBE0E652"/>
    <w:lvl w:ilvl="0" w:tplc="682CF1DC">
      <w:start w:val="1"/>
      <w:numFmt w:val="bullet"/>
      <w:lvlText w:val="•"/>
      <w:lvlJc w:val="left"/>
      <w:pPr>
        <w:ind w:left="360" w:hanging="260"/>
      </w:pPr>
    </w:lvl>
    <w:lvl w:ilvl="1" w:tplc="16D4482E">
      <w:numFmt w:val="decimal"/>
      <w:lvlText w:val=""/>
      <w:lvlJc w:val="left"/>
    </w:lvl>
    <w:lvl w:ilvl="2" w:tplc="92764EBE">
      <w:numFmt w:val="decimal"/>
      <w:lvlText w:val=""/>
      <w:lvlJc w:val="left"/>
    </w:lvl>
    <w:lvl w:ilvl="3" w:tplc="5686D9B8">
      <w:numFmt w:val="decimal"/>
      <w:lvlText w:val=""/>
      <w:lvlJc w:val="left"/>
    </w:lvl>
    <w:lvl w:ilvl="4" w:tplc="12B2A08C">
      <w:numFmt w:val="decimal"/>
      <w:lvlText w:val=""/>
      <w:lvlJc w:val="left"/>
    </w:lvl>
    <w:lvl w:ilvl="5" w:tplc="8E4C6FDA">
      <w:numFmt w:val="decimal"/>
      <w:lvlText w:val=""/>
      <w:lvlJc w:val="left"/>
    </w:lvl>
    <w:lvl w:ilvl="6" w:tplc="5B180970">
      <w:numFmt w:val="decimal"/>
      <w:lvlText w:val=""/>
      <w:lvlJc w:val="left"/>
    </w:lvl>
    <w:lvl w:ilvl="7" w:tplc="543285E4">
      <w:numFmt w:val="decimal"/>
      <w:lvlText w:val=""/>
      <w:lvlJc w:val="left"/>
    </w:lvl>
    <w:lvl w:ilvl="8" w:tplc="F7145576">
      <w:numFmt w:val="decimal"/>
      <w:lvlText w:val=""/>
      <w:lvlJc w:val="left"/>
    </w:lvl>
  </w:abstractNum>
  <w:num w:numId="1" w16cid:durableId="1789079592">
    <w:abstractNumId w:val="0"/>
    <w:lvlOverride w:ilvl="0">
      <w:startOverride w:val="1"/>
    </w:lvlOverride>
  </w:num>
  <w:num w:numId="2" w16cid:durableId="2970760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7F8"/>
    <w:rsid w:val="001A37F8"/>
    <w:rsid w:val="003625EC"/>
    <w:rsid w:val="004B00C5"/>
    <w:rsid w:val="006E4A83"/>
    <w:rsid w:val="007B1098"/>
    <w:rsid w:val="00B25FFC"/>
    <w:rsid w:val="00B42859"/>
    <w:rsid w:val="00BF6412"/>
    <w:rsid w:val="00DB3A3C"/>
    <w:rsid w:val="00EC4A1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7368"/>
  <w15:docId w15:val="{2FD91D21-69EC-4480-837D-4F9508C8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25EC"/>
    <w:pPr>
      <w:tabs>
        <w:tab w:val="center" w:pos="4513"/>
        <w:tab w:val="right" w:pos="9026"/>
      </w:tabs>
    </w:pPr>
  </w:style>
  <w:style w:type="character" w:customStyle="1" w:styleId="HeaderChar">
    <w:name w:val="Header Char"/>
    <w:basedOn w:val="DefaultParagraphFont"/>
    <w:link w:val="Header"/>
    <w:uiPriority w:val="99"/>
    <w:rsid w:val="003625EC"/>
  </w:style>
  <w:style w:type="paragraph" w:styleId="Footer">
    <w:name w:val="footer"/>
    <w:basedOn w:val="Normal"/>
    <w:link w:val="FooterChar"/>
    <w:uiPriority w:val="99"/>
    <w:unhideWhenUsed/>
    <w:rsid w:val="003625EC"/>
    <w:pPr>
      <w:tabs>
        <w:tab w:val="center" w:pos="4513"/>
        <w:tab w:val="right" w:pos="9026"/>
      </w:tabs>
    </w:pPr>
  </w:style>
  <w:style w:type="character" w:customStyle="1" w:styleId="FooterChar">
    <w:name w:val="Footer Char"/>
    <w:basedOn w:val="DefaultParagraphFont"/>
    <w:link w:val="Footer"/>
    <w:uiPriority w:val="99"/>
    <w:rsid w:val="003625EC"/>
  </w:style>
  <w:style w:type="character" w:styleId="UnresolvedMention">
    <w:name w:val="Unresolved Mention"/>
    <w:basedOn w:val="DefaultParagraphFont"/>
    <w:uiPriority w:val="99"/>
    <w:semiHidden/>
    <w:unhideWhenUsed/>
    <w:rsid w:val="003625EC"/>
    <w:rPr>
      <w:color w:val="605E5C"/>
      <w:shd w:val="clear" w:color="auto" w:fill="E1DFDD"/>
    </w:rPr>
  </w:style>
  <w:style w:type="character" w:styleId="FollowedHyperlink">
    <w:name w:val="FollowedHyperlink"/>
    <w:basedOn w:val="DefaultParagraphFont"/>
    <w:uiPriority w:val="99"/>
    <w:semiHidden/>
    <w:unhideWhenUsed/>
    <w:rsid w:val="003625E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yc.gov/site/tlc/about/tlc-trip-record-data.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VV Mabuza</cp:lastModifiedBy>
  <cp:revision>2</cp:revision>
  <dcterms:created xsi:type="dcterms:W3CDTF">2026-09-03T12:20:00Z</dcterms:created>
  <dcterms:modified xsi:type="dcterms:W3CDTF">2026-09-03T12:20:00Z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3750d27d-909f-40ed-abfd-81ff8a4c381a</vt:lpwstr>
  </property>
</Properties>
</file>