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4A94" w:rsidRDefault="005C4A94" w:rsidP="00392A80">
      <w:pPr>
        <w:spacing w:before="120" w:after="120" w:line="360" w:lineRule="auto"/>
        <w:jc w:val="both"/>
        <w:rPr>
          <w:rFonts w:asciiTheme="majorHAnsi" w:hAnsiTheme="majorHAnsi"/>
          <w:b/>
          <w:sz w:val="52"/>
        </w:rPr>
      </w:pPr>
    </w:p>
    <w:p w:rsidR="00866F51" w:rsidRDefault="00866F51" w:rsidP="00392A80">
      <w:pPr>
        <w:spacing w:before="120" w:after="120" w:line="360" w:lineRule="auto"/>
        <w:jc w:val="both"/>
        <w:rPr>
          <w:rFonts w:asciiTheme="majorHAnsi" w:hAnsiTheme="majorHAnsi"/>
          <w:b/>
          <w:sz w:val="52"/>
        </w:rPr>
      </w:pPr>
    </w:p>
    <w:p w:rsidR="006F7973" w:rsidRDefault="006F7973" w:rsidP="00392A80">
      <w:pPr>
        <w:spacing w:before="120" w:after="120" w:line="360" w:lineRule="auto"/>
        <w:jc w:val="both"/>
        <w:rPr>
          <w:rFonts w:asciiTheme="majorHAnsi" w:hAnsiTheme="majorHAnsi"/>
          <w:b/>
          <w:sz w:val="52"/>
        </w:rPr>
      </w:pPr>
    </w:p>
    <w:p w:rsidR="00866F51" w:rsidRDefault="005C4A94" w:rsidP="00392A80">
      <w:pPr>
        <w:spacing w:before="120" w:after="120" w:line="360" w:lineRule="auto"/>
        <w:jc w:val="center"/>
        <w:rPr>
          <w:rFonts w:asciiTheme="majorHAnsi" w:hAnsiTheme="majorHAnsi"/>
          <w:b/>
          <w:sz w:val="52"/>
        </w:rPr>
      </w:pPr>
      <w:r w:rsidRPr="005C4A94">
        <w:rPr>
          <w:rFonts w:asciiTheme="majorHAnsi" w:hAnsiTheme="majorHAnsi"/>
          <w:b/>
          <w:sz w:val="52"/>
        </w:rPr>
        <w:t>An Introductio</w:t>
      </w:r>
      <w:bookmarkStart w:id="0" w:name="_GoBack"/>
      <w:bookmarkEnd w:id="0"/>
      <w:r w:rsidRPr="005C4A94">
        <w:rPr>
          <w:rFonts w:asciiTheme="majorHAnsi" w:hAnsiTheme="majorHAnsi"/>
          <w:b/>
          <w:sz w:val="52"/>
        </w:rPr>
        <w:t xml:space="preserve">n to </w:t>
      </w:r>
      <w:r w:rsidR="00FD0444">
        <w:rPr>
          <w:rFonts w:asciiTheme="majorHAnsi" w:hAnsiTheme="majorHAnsi"/>
          <w:b/>
          <w:sz w:val="52"/>
        </w:rPr>
        <w:t xml:space="preserve">Go, </w:t>
      </w:r>
      <w:r w:rsidRPr="005C4A94">
        <w:rPr>
          <w:rFonts w:asciiTheme="majorHAnsi" w:hAnsiTheme="majorHAnsi"/>
          <w:b/>
          <w:sz w:val="52"/>
        </w:rPr>
        <w:t>AlphaGo and</w:t>
      </w:r>
    </w:p>
    <w:p w:rsidR="00E44D7D" w:rsidRPr="005C4A94" w:rsidRDefault="00FD0444" w:rsidP="00392A80">
      <w:pPr>
        <w:spacing w:before="120" w:after="120" w:line="360" w:lineRule="auto"/>
        <w:jc w:val="center"/>
        <w:rPr>
          <w:rFonts w:asciiTheme="majorHAnsi" w:hAnsiTheme="majorHAnsi"/>
          <w:b/>
          <w:sz w:val="52"/>
        </w:rPr>
      </w:pPr>
      <w:r>
        <w:rPr>
          <w:rFonts w:asciiTheme="majorHAnsi" w:hAnsiTheme="majorHAnsi"/>
          <w:b/>
          <w:sz w:val="52"/>
        </w:rPr>
        <w:t>Quantifying</w:t>
      </w:r>
      <w:r w:rsidR="005C4A94" w:rsidRPr="005C4A94">
        <w:rPr>
          <w:rFonts w:asciiTheme="majorHAnsi" w:hAnsiTheme="majorHAnsi"/>
          <w:b/>
          <w:sz w:val="52"/>
        </w:rPr>
        <w:t xml:space="preserve"> Go Gameplay</w:t>
      </w:r>
    </w:p>
    <w:p w:rsidR="00866F51" w:rsidRDefault="00866F51" w:rsidP="00392A80">
      <w:pPr>
        <w:spacing w:before="120" w:after="120" w:line="360" w:lineRule="auto"/>
        <w:jc w:val="center"/>
        <w:rPr>
          <w:rFonts w:asciiTheme="majorHAnsi" w:hAnsiTheme="majorHAnsi"/>
          <w:sz w:val="28"/>
        </w:rPr>
      </w:pPr>
    </w:p>
    <w:p w:rsidR="00C51541" w:rsidRDefault="005C4A94" w:rsidP="00392A80">
      <w:pPr>
        <w:spacing w:before="120" w:after="120" w:line="360" w:lineRule="auto"/>
        <w:jc w:val="center"/>
        <w:rPr>
          <w:rFonts w:asciiTheme="majorHAnsi" w:hAnsiTheme="majorHAnsi"/>
          <w:sz w:val="26"/>
          <w:szCs w:val="26"/>
        </w:rPr>
      </w:pPr>
      <w:r w:rsidRPr="001A5DB1">
        <w:rPr>
          <w:rFonts w:asciiTheme="majorHAnsi" w:hAnsiTheme="majorHAnsi"/>
          <w:sz w:val="26"/>
          <w:szCs w:val="26"/>
        </w:rPr>
        <w:t>Issac Yiu</w:t>
      </w:r>
      <w:r w:rsidR="00352BE2">
        <w:rPr>
          <w:rFonts w:asciiTheme="majorHAnsi" w:hAnsiTheme="majorHAnsi"/>
          <w:sz w:val="26"/>
          <w:szCs w:val="26"/>
        </w:rPr>
        <w:t xml:space="preserve">, </w:t>
      </w:r>
      <w:r w:rsidRPr="001A5DB1">
        <w:rPr>
          <w:rFonts w:asciiTheme="majorHAnsi" w:hAnsiTheme="majorHAnsi"/>
          <w:sz w:val="26"/>
          <w:szCs w:val="26"/>
        </w:rPr>
        <w:t>UC Berkeley</w:t>
      </w:r>
      <w:r w:rsidR="00352BE2">
        <w:rPr>
          <w:rStyle w:val="FootnoteReference"/>
          <w:rFonts w:asciiTheme="majorHAnsi" w:hAnsiTheme="majorHAnsi"/>
          <w:sz w:val="26"/>
          <w:szCs w:val="26"/>
        </w:rPr>
        <w:footnoteReference w:id="1"/>
      </w:r>
    </w:p>
    <w:p w:rsidR="00866F51" w:rsidRPr="001A5DB1" w:rsidRDefault="00866F51" w:rsidP="00392A80">
      <w:pPr>
        <w:spacing w:before="120" w:after="120" w:line="360" w:lineRule="auto"/>
        <w:jc w:val="center"/>
        <w:rPr>
          <w:rFonts w:asciiTheme="majorHAnsi" w:hAnsiTheme="majorHAnsi"/>
          <w:sz w:val="26"/>
          <w:szCs w:val="26"/>
        </w:rPr>
      </w:pPr>
      <w:r w:rsidRPr="001A5DB1">
        <w:rPr>
          <w:rFonts w:asciiTheme="majorHAnsi" w:hAnsiTheme="majorHAnsi"/>
          <w:sz w:val="26"/>
          <w:szCs w:val="26"/>
        </w:rPr>
        <w:t>Research &amp; Publication, Statistics Undergraduate Student Association</w:t>
      </w:r>
    </w:p>
    <w:p w:rsidR="00866F51" w:rsidRPr="006F7973" w:rsidRDefault="00115689" w:rsidP="00392A80">
      <w:pPr>
        <w:spacing w:before="120" w:after="120" w:line="360" w:lineRule="auto"/>
        <w:jc w:val="center"/>
        <w:rPr>
          <w:rFonts w:asciiTheme="majorHAnsi" w:hAnsiTheme="majorHAnsi"/>
          <w:sz w:val="26"/>
          <w:szCs w:val="26"/>
        </w:rPr>
      </w:pPr>
      <w:r>
        <w:rPr>
          <w:rFonts w:asciiTheme="majorHAnsi" w:hAnsiTheme="majorHAnsi"/>
          <w:sz w:val="26"/>
          <w:szCs w:val="26"/>
        </w:rPr>
        <w:t>December 1, 2017</w:t>
      </w:r>
      <w:r w:rsidR="00866F51">
        <w:rPr>
          <w:rFonts w:asciiTheme="majorHAnsi" w:hAnsiTheme="majorHAnsi"/>
          <w:sz w:val="24"/>
        </w:rPr>
        <w:br w:type="page"/>
      </w:r>
    </w:p>
    <w:sdt>
      <w:sdtPr>
        <w:rPr>
          <w:rFonts w:asciiTheme="minorHAnsi" w:eastAsiaTheme="minorEastAsia" w:hAnsiTheme="minorHAnsi" w:cstheme="minorBidi"/>
          <w:color w:val="auto"/>
          <w:sz w:val="22"/>
          <w:szCs w:val="22"/>
          <w:lang w:eastAsia="zh-CN"/>
        </w:rPr>
        <w:id w:val="1219013971"/>
        <w:docPartObj>
          <w:docPartGallery w:val="Table of Contents"/>
          <w:docPartUnique/>
        </w:docPartObj>
      </w:sdtPr>
      <w:sdtEndPr>
        <w:rPr>
          <w:b/>
          <w:bCs/>
          <w:noProof/>
        </w:rPr>
      </w:sdtEndPr>
      <w:sdtContent>
        <w:p w:rsidR="001A5DB1" w:rsidRPr="001A5DB1" w:rsidRDefault="00866F51" w:rsidP="004A17FD">
          <w:pPr>
            <w:pStyle w:val="TOCHeading"/>
            <w:spacing w:before="120" w:after="120" w:line="360" w:lineRule="auto"/>
            <w:jc w:val="both"/>
          </w:pPr>
          <w:r>
            <w:t>Contents</w:t>
          </w:r>
        </w:p>
        <w:p w:rsidR="00D95401" w:rsidRDefault="00866F51">
          <w:pPr>
            <w:pStyle w:val="TOC1"/>
            <w:tabs>
              <w:tab w:val="right" w:leader="dot" w:pos="9350"/>
            </w:tabs>
            <w:rPr>
              <w:noProof/>
            </w:rPr>
          </w:pPr>
          <w:r>
            <w:fldChar w:fldCharType="begin"/>
          </w:r>
          <w:r>
            <w:instrText xml:space="preserve"> TOC \o "1-3" \h \z \u </w:instrText>
          </w:r>
          <w:r>
            <w:fldChar w:fldCharType="separate"/>
          </w:r>
          <w:hyperlink w:anchor="_Toc499993200" w:history="1">
            <w:r w:rsidR="00D95401" w:rsidRPr="009B447A">
              <w:rPr>
                <w:rStyle w:val="Hyperlink"/>
                <w:noProof/>
              </w:rPr>
              <w:t>1. Introduction</w:t>
            </w:r>
            <w:r w:rsidR="00D95401">
              <w:rPr>
                <w:noProof/>
                <w:webHidden/>
              </w:rPr>
              <w:tab/>
            </w:r>
            <w:r w:rsidR="00D95401">
              <w:rPr>
                <w:noProof/>
                <w:webHidden/>
              </w:rPr>
              <w:fldChar w:fldCharType="begin"/>
            </w:r>
            <w:r w:rsidR="00D95401">
              <w:rPr>
                <w:noProof/>
                <w:webHidden/>
              </w:rPr>
              <w:instrText xml:space="preserve"> PAGEREF _Toc499993200 \h </w:instrText>
            </w:r>
            <w:r w:rsidR="00D95401">
              <w:rPr>
                <w:noProof/>
                <w:webHidden/>
              </w:rPr>
            </w:r>
            <w:r w:rsidR="00D95401">
              <w:rPr>
                <w:noProof/>
                <w:webHidden/>
              </w:rPr>
              <w:fldChar w:fldCharType="separate"/>
            </w:r>
            <w:r w:rsidR="00DC63D6">
              <w:rPr>
                <w:noProof/>
                <w:webHidden/>
              </w:rPr>
              <w:t>3</w:t>
            </w:r>
            <w:r w:rsidR="00D95401">
              <w:rPr>
                <w:noProof/>
                <w:webHidden/>
              </w:rPr>
              <w:fldChar w:fldCharType="end"/>
            </w:r>
          </w:hyperlink>
        </w:p>
        <w:p w:rsidR="00D95401" w:rsidRDefault="00D95401">
          <w:pPr>
            <w:pStyle w:val="TOC1"/>
            <w:tabs>
              <w:tab w:val="right" w:leader="dot" w:pos="9350"/>
            </w:tabs>
            <w:rPr>
              <w:noProof/>
            </w:rPr>
          </w:pPr>
          <w:hyperlink w:anchor="_Toc499993201" w:history="1">
            <w:r w:rsidRPr="009B447A">
              <w:rPr>
                <w:rStyle w:val="Hyperlink"/>
                <w:noProof/>
              </w:rPr>
              <w:t>2. Context</w:t>
            </w:r>
            <w:r>
              <w:rPr>
                <w:noProof/>
                <w:webHidden/>
              </w:rPr>
              <w:tab/>
            </w:r>
            <w:r>
              <w:rPr>
                <w:noProof/>
                <w:webHidden/>
              </w:rPr>
              <w:fldChar w:fldCharType="begin"/>
            </w:r>
            <w:r>
              <w:rPr>
                <w:noProof/>
                <w:webHidden/>
              </w:rPr>
              <w:instrText xml:space="preserve"> PAGEREF _Toc499993201 \h </w:instrText>
            </w:r>
            <w:r>
              <w:rPr>
                <w:noProof/>
                <w:webHidden/>
              </w:rPr>
            </w:r>
            <w:r>
              <w:rPr>
                <w:noProof/>
                <w:webHidden/>
              </w:rPr>
              <w:fldChar w:fldCharType="separate"/>
            </w:r>
            <w:r w:rsidR="00DC63D6">
              <w:rPr>
                <w:noProof/>
                <w:webHidden/>
              </w:rPr>
              <w:t>3</w:t>
            </w:r>
            <w:r>
              <w:rPr>
                <w:noProof/>
                <w:webHidden/>
              </w:rPr>
              <w:fldChar w:fldCharType="end"/>
            </w:r>
          </w:hyperlink>
        </w:p>
        <w:p w:rsidR="00D95401" w:rsidRDefault="00D95401">
          <w:pPr>
            <w:pStyle w:val="TOC2"/>
            <w:tabs>
              <w:tab w:val="right" w:leader="dot" w:pos="9350"/>
            </w:tabs>
            <w:rPr>
              <w:noProof/>
            </w:rPr>
          </w:pPr>
          <w:hyperlink w:anchor="_Toc499993202" w:history="1">
            <w:r w:rsidRPr="009B447A">
              <w:rPr>
                <w:rStyle w:val="Hyperlink"/>
                <w:noProof/>
              </w:rPr>
              <w:t>2.1. The Millenia-Old Game</w:t>
            </w:r>
            <w:r>
              <w:rPr>
                <w:noProof/>
                <w:webHidden/>
              </w:rPr>
              <w:tab/>
            </w:r>
            <w:r>
              <w:rPr>
                <w:noProof/>
                <w:webHidden/>
              </w:rPr>
              <w:fldChar w:fldCharType="begin"/>
            </w:r>
            <w:r>
              <w:rPr>
                <w:noProof/>
                <w:webHidden/>
              </w:rPr>
              <w:instrText xml:space="preserve"> PAGEREF _Toc499993202 \h </w:instrText>
            </w:r>
            <w:r>
              <w:rPr>
                <w:noProof/>
                <w:webHidden/>
              </w:rPr>
            </w:r>
            <w:r>
              <w:rPr>
                <w:noProof/>
                <w:webHidden/>
              </w:rPr>
              <w:fldChar w:fldCharType="separate"/>
            </w:r>
            <w:r w:rsidR="00DC63D6">
              <w:rPr>
                <w:noProof/>
                <w:webHidden/>
              </w:rPr>
              <w:t>3</w:t>
            </w:r>
            <w:r>
              <w:rPr>
                <w:noProof/>
                <w:webHidden/>
              </w:rPr>
              <w:fldChar w:fldCharType="end"/>
            </w:r>
          </w:hyperlink>
        </w:p>
        <w:p w:rsidR="00D95401" w:rsidRDefault="00D95401">
          <w:pPr>
            <w:pStyle w:val="TOC2"/>
            <w:tabs>
              <w:tab w:val="right" w:leader="dot" w:pos="9350"/>
            </w:tabs>
            <w:rPr>
              <w:noProof/>
            </w:rPr>
          </w:pPr>
          <w:hyperlink w:anchor="_Toc499993203" w:history="1">
            <w:r w:rsidRPr="009B447A">
              <w:rPr>
                <w:rStyle w:val="Hyperlink"/>
                <w:noProof/>
              </w:rPr>
              <w:t>2.2. The History of an Invincible AI</w:t>
            </w:r>
            <w:r>
              <w:rPr>
                <w:noProof/>
                <w:webHidden/>
              </w:rPr>
              <w:tab/>
            </w:r>
            <w:r>
              <w:rPr>
                <w:noProof/>
                <w:webHidden/>
              </w:rPr>
              <w:fldChar w:fldCharType="begin"/>
            </w:r>
            <w:r>
              <w:rPr>
                <w:noProof/>
                <w:webHidden/>
              </w:rPr>
              <w:instrText xml:space="preserve"> PAGEREF _Toc499993203 \h </w:instrText>
            </w:r>
            <w:r>
              <w:rPr>
                <w:noProof/>
                <w:webHidden/>
              </w:rPr>
            </w:r>
            <w:r>
              <w:rPr>
                <w:noProof/>
                <w:webHidden/>
              </w:rPr>
              <w:fldChar w:fldCharType="separate"/>
            </w:r>
            <w:r w:rsidR="00DC63D6">
              <w:rPr>
                <w:noProof/>
                <w:webHidden/>
              </w:rPr>
              <w:t>4</w:t>
            </w:r>
            <w:r>
              <w:rPr>
                <w:noProof/>
                <w:webHidden/>
              </w:rPr>
              <w:fldChar w:fldCharType="end"/>
            </w:r>
          </w:hyperlink>
        </w:p>
        <w:p w:rsidR="00D95401" w:rsidRDefault="00D95401">
          <w:pPr>
            <w:pStyle w:val="TOC2"/>
            <w:tabs>
              <w:tab w:val="right" w:leader="dot" w:pos="9350"/>
            </w:tabs>
            <w:rPr>
              <w:noProof/>
            </w:rPr>
          </w:pPr>
          <w:hyperlink w:anchor="_Toc499993204" w:history="1">
            <w:r w:rsidRPr="009B447A">
              <w:rPr>
                <w:rStyle w:val="Hyperlink"/>
                <w:noProof/>
              </w:rPr>
              <w:t>2.3. AlphaGo’s Algorithm</w:t>
            </w:r>
            <w:r>
              <w:rPr>
                <w:noProof/>
                <w:webHidden/>
              </w:rPr>
              <w:tab/>
            </w:r>
            <w:r>
              <w:rPr>
                <w:noProof/>
                <w:webHidden/>
              </w:rPr>
              <w:fldChar w:fldCharType="begin"/>
            </w:r>
            <w:r>
              <w:rPr>
                <w:noProof/>
                <w:webHidden/>
              </w:rPr>
              <w:instrText xml:space="preserve"> PAGEREF _Toc499993204 \h </w:instrText>
            </w:r>
            <w:r>
              <w:rPr>
                <w:noProof/>
                <w:webHidden/>
              </w:rPr>
            </w:r>
            <w:r>
              <w:rPr>
                <w:noProof/>
                <w:webHidden/>
              </w:rPr>
              <w:fldChar w:fldCharType="separate"/>
            </w:r>
            <w:r w:rsidR="00DC63D6">
              <w:rPr>
                <w:noProof/>
                <w:webHidden/>
              </w:rPr>
              <w:t>5</w:t>
            </w:r>
            <w:r>
              <w:rPr>
                <w:noProof/>
                <w:webHidden/>
              </w:rPr>
              <w:fldChar w:fldCharType="end"/>
            </w:r>
          </w:hyperlink>
        </w:p>
        <w:p w:rsidR="00D95401" w:rsidRDefault="00D95401">
          <w:pPr>
            <w:pStyle w:val="TOC1"/>
            <w:tabs>
              <w:tab w:val="right" w:leader="dot" w:pos="9350"/>
            </w:tabs>
            <w:rPr>
              <w:noProof/>
            </w:rPr>
          </w:pPr>
          <w:hyperlink w:anchor="_Toc499993205" w:history="1">
            <w:r w:rsidRPr="009B447A">
              <w:rPr>
                <w:rStyle w:val="Hyperlink"/>
                <w:noProof/>
              </w:rPr>
              <w:t>3. Overview of Study</w:t>
            </w:r>
            <w:r>
              <w:rPr>
                <w:noProof/>
                <w:webHidden/>
              </w:rPr>
              <w:tab/>
            </w:r>
            <w:r>
              <w:rPr>
                <w:noProof/>
                <w:webHidden/>
              </w:rPr>
              <w:fldChar w:fldCharType="begin"/>
            </w:r>
            <w:r>
              <w:rPr>
                <w:noProof/>
                <w:webHidden/>
              </w:rPr>
              <w:instrText xml:space="preserve"> PAGEREF _Toc499993205 \h </w:instrText>
            </w:r>
            <w:r>
              <w:rPr>
                <w:noProof/>
                <w:webHidden/>
              </w:rPr>
            </w:r>
            <w:r>
              <w:rPr>
                <w:noProof/>
                <w:webHidden/>
              </w:rPr>
              <w:fldChar w:fldCharType="separate"/>
            </w:r>
            <w:r w:rsidR="00DC63D6">
              <w:rPr>
                <w:noProof/>
                <w:webHidden/>
              </w:rPr>
              <w:t>6</w:t>
            </w:r>
            <w:r>
              <w:rPr>
                <w:noProof/>
                <w:webHidden/>
              </w:rPr>
              <w:fldChar w:fldCharType="end"/>
            </w:r>
          </w:hyperlink>
        </w:p>
        <w:p w:rsidR="00D95401" w:rsidRDefault="00D95401">
          <w:pPr>
            <w:pStyle w:val="TOC2"/>
            <w:tabs>
              <w:tab w:val="right" w:leader="dot" w:pos="9350"/>
            </w:tabs>
            <w:rPr>
              <w:noProof/>
            </w:rPr>
          </w:pPr>
          <w:hyperlink w:anchor="_Toc499993206" w:history="1">
            <w:r w:rsidRPr="009B447A">
              <w:rPr>
                <w:rStyle w:val="Hyperlink"/>
                <w:noProof/>
              </w:rPr>
              <w:t>3.1. Aim</w:t>
            </w:r>
            <w:r>
              <w:rPr>
                <w:noProof/>
                <w:webHidden/>
              </w:rPr>
              <w:tab/>
            </w:r>
            <w:r>
              <w:rPr>
                <w:noProof/>
                <w:webHidden/>
              </w:rPr>
              <w:fldChar w:fldCharType="begin"/>
            </w:r>
            <w:r>
              <w:rPr>
                <w:noProof/>
                <w:webHidden/>
              </w:rPr>
              <w:instrText xml:space="preserve"> PAGEREF _Toc499993206 \h </w:instrText>
            </w:r>
            <w:r>
              <w:rPr>
                <w:noProof/>
                <w:webHidden/>
              </w:rPr>
            </w:r>
            <w:r>
              <w:rPr>
                <w:noProof/>
                <w:webHidden/>
              </w:rPr>
              <w:fldChar w:fldCharType="separate"/>
            </w:r>
            <w:r w:rsidR="00DC63D6">
              <w:rPr>
                <w:noProof/>
                <w:webHidden/>
              </w:rPr>
              <w:t>6</w:t>
            </w:r>
            <w:r>
              <w:rPr>
                <w:noProof/>
                <w:webHidden/>
              </w:rPr>
              <w:fldChar w:fldCharType="end"/>
            </w:r>
          </w:hyperlink>
        </w:p>
        <w:p w:rsidR="00D95401" w:rsidRDefault="00D95401">
          <w:pPr>
            <w:pStyle w:val="TOC2"/>
            <w:tabs>
              <w:tab w:val="right" w:leader="dot" w:pos="9350"/>
            </w:tabs>
            <w:rPr>
              <w:noProof/>
            </w:rPr>
          </w:pPr>
          <w:hyperlink w:anchor="_Toc499993207" w:history="1">
            <w:r w:rsidRPr="009B447A">
              <w:rPr>
                <w:rStyle w:val="Hyperlink"/>
                <w:noProof/>
              </w:rPr>
              <w:t>3.2. Hypothesis</w:t>
            </w:r>
            <w:r>
              <w:rPr>
                <w:noProof/>
                <w:webHidden/>
              </w:rPr>
              <w:tab/>
            </w:r>
            <w:r>
              <w:rPr>
                <w:noProof/>
                <w:webHidden/>
              </w:rPr>
              <w:fldChar w:fldCharType="begin"/>
            </w:r>
            <w:r>
              <w:rPr>
                <w:noProof/>
                <w:webHidden/>
              </w:rPr>
              <w:instrText xml:space="preserve"> PAGEREF _Toc499993207 \h </w:instrText>
            </w:r>
            <w:r>
              <w:rPr>
                <w:noProof/>
                <w:webHidden/>
              </w:rPr>
            </w:r>
            <w:r>
              <w:rPr>
                <w:noProof/>
                <w:webHidden/>
              </w:rPr>
              <w:fldChar w:fldCharType="separate"/>
            </w:r>
            <w:r w:rsidR="00DC63D6">
              <w:rPr>
                <w:noProof/>
                <w:webHidden/>
              </w:rPr>
              <w:t>6</w:t>
            </w:r>
            <w:r>
              <w:rPr>
                <w:noProof/>
                <w:webHidden/>
              </w:rPr>
              <w:fldChar w:fldCharType="end"/>
            </w:r>
          </w:hyperlink>
        </w:p>
        <w:p w:rsidR="00D95401" w:rsidRDefault="00D95401">
          <w:pPr>
            <w:pStyle w:val="TOC1"/>
            <w:tabs>
              <w:tab w:val="right" w:leader="dot" w:pos="9350"/>
            </w:tabs>
            <w:rPr>
              <w:noProof/>
            </w:rPr>
          </w:pPr>
          <w:hyperlink w:anchor="_Toc499993208" w:history="1">
            <w:r w:rsidRPr="009B447A">
              <w:rPr>
                <w:rStyle w:val="Hyperlink"/>
                <w:noProof/>
              </w:rPr>
              <w:t>4. Methodology</w:t>
            </w:r>
            <w:r>
              <w:rPr>
                <w:noProof/>
                <w:webHidden/>
              </w:rPr>
              <w:tab/>
            </w:r>
            <w:r>
              <w:rPr>
                <w:noProof/>
                <w:webHidden/>
              </w:rPr>
              <w:fldChar w:fldCharType="begin"/>
            </w:r>
            <w:r>
              <w:rPr>
                <w:noProof/>
                <w:webHidden/>
              </w:rPr>
              <w:instrText xml:space="preserve"> PAGEREF _Toc499993208 \h </w:instrText>
            </w:r>
            <w:r>
              <w:rPr>
                <w:noProof/>
                <w:webHidden/>
              </w:rPr>
            </w:r>
            <w:r>
              <w:rPr>
                <w:noProof/>
                <w:webHidden/>
              </w:rPr>
              <w:fldChar w:fldCharType="separate"/>
            </w:r>
            <w:r w:rsidR="00DC63D6">
              <w:rPr>
                <w:noProof/>
                <w:webHidden/>
              </w:rPr>
              <w:t>7</w:t>
            </w:r>
            <w:r>
              <w:rPr>
                <w:noProof/>
                <w:webHidden/>
              </w:rPr>
              <w:fldChar w:fldCharType="end"/>
            </w:r>
          </w:hyperlink>
        </w:p>
        <w:p w:rsidR="00D95401" w:rsidRDefault="00D95401">
          <w:pPr>
            <w:pStyle w:val="TOC2"/>
            <w:tabs>
              <w:tab w:val="right" w:leader="dot" w:pos="9350"/>
            </w:tabs>
            <w:rPr>
              <w:noProof/>
            </w:rPr>
          </w:pPr>
          <w:hyperlink w:anchor="_Toc499993209" w:history="1">
            <w:r w:rsidRPr="009B447A">
              <w:rPr>
                <w:rStyle w:val="Hyperlink"/>
                <w:noProof/>
              </w:rPr>
              <w:t>4.1. Data Collection</w:t>
            </w:r>
            <w:r>
              <w:rPr>
                <w:noProof/>
                <w:webHidden/>
              </w:rPr>
              <w:tab/>
            </w:r>
            <w:r>
              <w:rPr>
                <w:noProof/>
                <w:webHidden/>
              </w:rPr>
              <w:fldChar w:fldCharType="begin"/>
            </w:r>
            <w:r>
              <w:rPr>
                <w:noProof/>
                <w:webHidden/>
              </w:rPr>
              <w:instrText xml:space="preserve"> PAGEREF _Toc499993209 \h </w:instrText>
            </w:r>
            <w:r>
              <w:rPr>
                <w:noProof/>
                <w:webHidden/>
              </w:rPr>
            </w:r>
            <w:r>
              <w:rPr>
                <w:noProof/>
                <w:webHidden/>
              </w:rPr>
              <w:fldChar w:fldCharType="separate"/>
            </w:r>
            <w:r w:rsidR="00DC63D6">
              <w:rPr>
                <w:noProof/>
                <w:webHidden/>
              </w:rPr>
              <w:t>7</w:t>
            </w:r>
            <w:r>
              <w:rPr>
                <w:noProof/>
                <w:webHidden/>
              </w:rPr>
              <w:fldChar w:fldCharType="end"/>
            </w:r>
          </w:hyperlink>
        </w:p>
        <w:p w:rsidR="00D95401" w:rsidRDefault="00D95401">
          <w:pPr>
            <w:pStyle w:val="TOC2"/>
            <w:tabs>
              <w:tab w:val="right" w:leader="dot" w:pos="9350"/>
            </w:tabs>
            <w:rPr>
              <w:noProof/>
            </w:rPr>
          </w:pPr>
          <w:hyperlink w:anchor="_Toc499993210" w:history="1">
            <w:r w:rsidRPr="009B447A">
              <w:rPr>
                <w:rStyle w:val="Hyperlink"/>
                <w:noProof/>
              </w:rPr>
              <w:t>4.2. Data Handling</w:t>
            </w:r>
            <w:r>
              <w:rPr>
                <w:noProof/>
                <w:webHidden/>
              </w:rPr>
              <w:tab/>
            </w:r>
            <w:r>
              <w:rPr>
                <w:noProof/>
                <w:webHidden/>
              </w:rPr>
              <w:fldChar w:fldCharType="begin"/>
            </w:r>
            <w:r>
              <w:rPr>
                <w:noProof/>
                <w:webHidden/>
              </w:rPr>
              <w:instrText xml:space="preserve"> PAGEREF _Toc499993210 \h </w:instrText>
            </w:r>
            <w:r>
              <w:rPr>
                <w:noProof/>
                <w:webHidden/>
              </w:rPr>
            </w:r>
            <w:r>
              <w:rPr>
                <w:noProof/>
                <w:webHidden/>
              </w:rPr>
              <w:fldChar w:fldCharType="separate"/>
            </w:r>
            <w:r w:rsidR="00DC63D6">
              <w:rPr>
                <w:noProof/>
                <w:webHidden/>
              </w:rPr>
              <w:t>7</w:t>
            </w:r>
            <w:r>
              <w:rPr>
                <w:noProof/>
                <w:webHidden/>
              </w:rPr>
              <w:fldChar w:fldCharType="end"/>
            </w:r>
          </w:hyperlink>
        </w:p>
        <w:p w:rsidR="00D95401" w:rsidRDefault="00D95401">
          <w:pPr>
            <w:pStyle w:val="TOC1"/>
            <w:tabs>
              <w:tab w:val="right" w:leader="dot" w:pos="9350"/>
            </w:tabs>
            <w:rPr>
              <w:noProof/>
            </w:rPr>
          </w:pPr>
          <w:hyperlink w:anchor="_Toc499993211" w:history="1">
            <w:r w:rsidRPr="009B447A">
              <w:rPr>
                <w:rStyle w:val="Hyperlink"/>
                <w:noProof/>
              </w:rPr>
              <w:t>5. Data and Analysis</w:t>
            </w:r>
            <w:r>
              <w:rPr>
                <w:noProof/>
                <w:webHidden/>
              </w:rPr>
              <w:tab/>
            </w:r>
            <w:r>
              <w:rPr>
                <w:noProof/>
                <w:webHidden/>
              </w:rPr>
              <w:fldChar w:fldCharType="begin"/>
            </w:r>
            <w:r>
              <w:rPr>
                <w:noProof/>
                <w:webHidden/>
              </w:rPr>
              <w:instrText xml:space="preserve"> PAGEREF _Toc499993211 \h </w:instrText>
            </w:r>
            <w:r>
              <w:rPr>
                <w:noProof/>
                <w:webHidden/>
              </w:rPr>
            </w:r>
            <w:r>
              <w:rPr>
                <w:noProof/>
                <w:webHidden/>
              </w:rPr>
              <w:fldChar w:fldCharType="separate"/>
            </w:r>
            <w:r w:rsidR="00DC63D6">
              <w:rPr>
                <w:noProof/>
                <w:webHidden/>
              </w:rPr>
              <w:t>8</w:t>
            </w:r>
            <w:r>
              <w:rPr>
                <w:noProof/>
                <w:webHidden/>
              </w:rPr>
              <w:fldChar w:fldCharType="end"/>
            </w:r>
          </w:hyperlink>
        </w:p>
        <w:p w:rsidR="00D95401" w:rsidRDefault="00D95401">
          <w:pPr>
            <w:pStyle w:val="TOC2"/>
            <w:tabs>
              <w:tab w:val="right" w:leader="dot" w:pos="9350"/>
            </w:tabs>
            <w:rPr>
              <w:noProof/>
            </w:rPr>
          </w:pPr>
          <w:hyperlink w:anchor="_Toc499993212" w:history="1">
            <w:r w:rsidRPr="009B447A">
              <w:rPr>
                <w:rStyle w:val="Hyperlink"/>
                <w:noProof/>
              </w:rPr>
              <w:t>5.1. Win-Rates</w:t>
            </w:r>
            <w:r>
              <w:rPr>
                <w:noProof/>
                <w:webHidden/>
              </w:rPr>
              <w:tab/>
            </w:r>
            <w:r>
              <w:rPr>
                <w:noProof/>
                <w:webHidden/>
              </w:rPr>
              <w:fldChar w:fldCharType="begin"/>
            </w:r>
            <w:r>
              <w:rPr>
                <w:noProof/>
                <w:webHidden/>
              </w:rPr>
              <w:instrText xml:space="preserve"> PAGEREF _Toc499993212 \h </w:instrText>
            </w:r>
            <w:r>
              <w:rPr>
                <w:noProof/>
                <w:webHidden/>
              </w:rPr>
            </w:r>
            <w:r>
              <w:rPr>
                <w:noProof/>
                <w:webHidden/>
              </w:rPr>
              <w:fldChar w:fldCharType="separate"/>
            </w:r>
            <w:r w:rsidR="00DC63D6">
              <w:rPr>
                <w:noProof/>
                <w:webHidden/>
              </w:rPr>
              <w:t>8</w:t>
            </w:r>
            <w:r>
              <w:rPr>
                <w:noProof/>
                <w:webHidden/>
              </w:rPr>
              <w:fldChar w:fldCharType="end"/>
            </w:r>
          </w:hyperlink>
        </w:p>
        <w:p w:rsidR="00D95401" w:rsidRDefault="00D95401">
          <w:pPr>
            <w:pStyle w:val="TOC2"/>
            <w:tabs>
              <w:tab w:val="right" w:leader="dot" w:pos="9350"/>
            </w:tabs>
            <w:rPr>
              <w:noProof/>
            </w:rPr>
          </w:pPr>
          <w:hyperlink w:anchor="_Toc499993213" w:history="1">
            <w:r w:rsidRPr="009B447A">
              <w:rPr>
                <w:rStyle w:val="Hyperlink"/>
                <w:noProof/>
              </w:rPr>
              <w:t>5.2. Measuring Tempo by Euclidean Distance</w:t>
            </w:r>
            <w:r>
              <w:rPr>
                <w:noProof/>
                <w:webHidden/>
              </w:rPr>
              <w:tab/>
            </w:r>
            <w:r>
              <w:rPr>
                <w:noProof/>
                <w:webHidden/>
              </w:rPr>
              <w:fldChar w:fldCharType="begin"/>
            </w:r>
            <w:r>
              <w:rPr>
                <w:noProof/>
                <w:webHidden/>
              </w:rPr>
              <w:instrText xml:space="preserve"> PAGEREF _Toc499993213 \h </w:instrText>
            </w:r>
            <w:r>
              <w:rPr>
                <w:noProof/>
                <w:webHidden/>
              </w:rPr>
            </w:r>
            <w:r>
              <w:rPr>
                <w:noProof/>
                <w:webHidden/>
              </w:rPr>
              <w:fldChar w:fldCharType="separate"/>
            </w:r>
            <w:r w:rsidR="00DC63D6">
              <w:rPr>
                <w:noProof/>
                <w:webHidden/>
              </w:rPr>
              <w:t>10</w:t>
            </w:r>
            <w:r>
              <w:rPr>
                <w:noProof/>
                <w:webHidden/>
              </w:rPr>
              <w:fldChar w:fldCharType="end"/>
            </w:r>
          </w:hyperlink>
        </w:p>
        <w:p w:rsidR="00D95401" w:rsidRDefault="00D95401">
          <w:pPr>
            <w:pStyle w:val="TOC2"/>
            <w:tabs>
              <w:tab w:val="right" w:leader="dot" w:pos="9350"/>
            </w:tabs>
            <w:rPr>
              <w:noProof/>
            </w:rPr>
          </w:pPr>
          <w:hyperlink w:anchor="_Toc499993214" w:history="1">
            <w:r w:rsidRPr="009B447A">
              <w:rPr>
                <w:rStyle w:val="Hyperlink"/>
                <w:noProof/>
              </w:rPr>
              <w:t>5.3. Individual Tempo</w:t>
            </w:r>
            <w:r>
              <w:rPr>
                <w:noProof/>
                <w:webHidden/>
              </w:rPr>
              <w:tab/>
            </w:r>
            <w:r>
              <w:rPr>
                <w:noProof/>
                <w:webHidden/>
              </w:rPr>
              <w:fldChar w:fldCharType="begin"/>
            </w:r>
            <w:r>
              <w:rPr>
                <w:noProof/>
                <w:webHidden/>
              </w:rPr>
              <w:instrText xml:space="preserve"> PAGEREF _Toc499993214 \h </w:instrText>
            </w:r>
            <w:r>
              <w:rPr>
                <w:noProof/>
                <w:webHidden/>
              </w:rPr>
            </w:r>
            <w:r>
              <w:rPr>
                <w:noProof/>
                <w:webHidden/>
              </w:rPr>
              <w:fldChar w:fldCharType="separate"/>
            </w:r>
            <w:r w:rsidR="00DC63D6">
              <w:rPr>
                <w:noProof/>
                <w:webHidden/>
              </w:rPr>
              <w:t>10</w:t>
            </w:r>
            <w:r>
              <w:rPr>
                <w:noProof/>
                <w:webHidden/>
              </w:rPr>
              <w:fldChar w:fldCharType="end"/>
            </w:r>
          </w:hyperlink>
        </w:p>
        <w:p w:rsidR="00D95401" w:rsidRDefault="00D95401">
          <w:pPr>
            <w:pStyle w:val="TOC2"/>
            <w:tabs>
              <w:tab w:val="right" w:leader="dot" w:pos="9350"/>
            </w:tabs>
            <w:rPr>
              <w:noProof/>
            </w:rPr>
          </w:pPr>
          <w:hyperlink w:anchor="_Toc499993215" w:history="1">
            <w:r w:rsidRPr="009B447A">
              <w:rPr>
                <w:rStyle w:val="Hyperlink"/>
                <w:noProof/>
              </w:rPr>
              <w:t>5.2. Game Tempo and Responsiveness</w:t>
            </w:r>
            <w:r>
              <w:rPr>
                <w:noProof/>
                <w:webHidden/>
              </w:rPr>
              <w:tab/>
            </w:r>
            <w:r>
              <w:rPr>
                <w:noProof/>
                <w:webHidden/>
              </w:rPr>
              <w:fldChar w:fldCharType="begin"/>
            </w:r>
            <w:r>
              <w:rPr>
                <w:noProof/>
                <w:webHidden/>
              </w:rPr>
              <w:instrText xml:space="preserve"> PAGEREF _Toc499993215 \h </w:instrText>
            </w:r>
            <w:r>
              <w:rPr>
                <w:noProof/>
                <w:webHidden/>
              </w:rPr>
            </w:r>
            <w:r>
              <w:rPr>
                <w:noProof/>
                <w:webHidden/>
              </w:rPr>
              <w:fldChar w:fldCharType="separate"/>
            </w:r>
            <w:r w:rsidR="00DC63D6">
              <w:rPr>
                <w:noProof/>
                <w:webHidden/>
              </w:rPr>
              <w:t>14</w:t>
            </w:r>
            <w:r>
              <w:rPr>
                <w:noProof/>
                <w:webHidden/>
              </w:rPr>
              <w:fldChar w:fldCharType="end"/>
            </w:r>
          </w:hyperlink>
        </w:p>
        <w:p w:rsidR="00D95401" w:rsidRDefault="00D95401">
          <w:pPr>
            <w:pStyle w:val="TOC1"/>
            <w:tabs>
              <w:tab w:val="right" w:leader="dot" w:pos="9350"/>
            </w:tabs>
            <w:rPr>
              <w:noProof/>
            </w:rPr>
          </w:pPr>
          <w:hyperlink w:anchor="_Toc499993216" w:history="1">
            <w:r w:rsidRPr="009B447A">
              <w:rPr>
                <w:rStyle w:val="Hyperlink"/>
                <w:noProof/>
              </w:rPr>
              <w:t>6. Conclusion</w:t>
            </w:r>
            <w:r>
              <w:rPr>
                <w:noProof/>
                <w:webHidden/>
              </w:rPr>
              <w:tab/>
            </w:r>
            <w:r>
              <w:rPr>
                <w:noProof/>
                <w:webHidden/>
              </w:rPr>
              <w:fldChar w:fldCharType="begin"/>
            </w:r>
            <w:r>
              <w:rPr>
                <w:noProof/>
                <w:webHidden/>
              </w:rPr>
              <w:instrText xml:space="preserve"> PAGEREF _Toc499993216 \h </w:instrText>
            </w:r>
            <w:r>
              <w:rPr>
                <w:noProof/>
                <w:webHidden/>
              </w:rPr>
            </w:r>
            <w:r>
              <w:rPr>
                <w:noProof/>
                <w:webHidden/>
              </w:rPr>
              <w:fldChar w:fldCharType="separate"/>
            </w:r>
            <w:r w:rsidR="00DC63D6">
              <w:rPr>
                <w:noProof/>
                <w:webHidden/>
              </w:rPr>
              <w:t>16</w:t>
            </w:r>
            <w:r>
              <w:rPr>
                <w:noProof/>
                <w:webHidden/>
              </w:rPr>
              <w:fldChar w:fldCharType="end"/>
            </w:r>
          </w:hyperlink>
        </w:p>
        <w:p w:rsidR="00D95401" w:rsidRDefault="00D95401">
          <w:pPr>
            <w:pStyle w:val="TOC2"/>
            <w:tabs>
              <w:tab w:val="right" w:leader="dot" w:pos="9350"/>
            </w:tabs>
            <w:rPr>
              <w:noProof/>
            </w:rPr>
          </w:pPr>
          <w:hyperlink w:anchor="_Toc499993217" w:history="1">
            <w:r w:rsidRPr="009B447A">
              <w:rPr>
                <w:rStyle w:val="Hyperlink"/>
                <w:noProof/>
              </w:rPr>
              <w:t>6.1. Summary</w:t>
            </w:r>
            <w:r>
              <w:rPr>
                <w:noProof/>
                <w:webHidden/>
              </w:rPr>
              <w:tab/>
            </w:r>
            <w:r>
              <w:rPr>
                <w:noProof/>
                <w:webHidden/>
              </w:rPr>
              <w:fldChar w:fldCharType="begin"/>
            </w:r>
            <w:r>
              <w:rPr>
                <w:noProof/>
                <w:webHidden/>
              </w:rPr>
              <w:instrText xml:space="preserve"> PAGEREF _Toc499993217 \h </w:instrText>
            </w:r>
            <w:r>
              <w:rPr>
                <w:noProof/>
                <w:webHidden/>
              </w:rPr>
            </w:r>
            <w:r>
              <w:rPr>
                <w:noProof/>
                <w:webHidden/>
              </w:rPr>
              <w:fldChar w:fldCharType="separate"/>
            </w:r>
            <w:r w:rsidR="00DC63D6">
              <w:rPr>
                <w:noProof/>
                <w:webHidden/>
              </w:rPr>
              <w:t>16</w:t>
            </w:r>
            <w:r>
              <w:rPr>
                <w:noProof/>
                <w:webHidden/>
              </w:rPr>
              <w:fldChar w:fldCharType="end"/>
            </w:r>
          </w:hyperlink>
        </w:p>
        <w:p w:rsidR="00D95401" w:rsidRDefault="00D95401">
          <w:pPr>
            <w:pStyle w:val="TOC2"/>
            <w:tabs>
              <w:tab w:val="right" w:leader="dot" w:pos="9350"/>
            </w:tabs>
            <w:rPr>
              <w:noProof/>
            </w:rPr>
          </w:pPr>
          <w:hyperlink w:anchor="_Toc499993218" w:history="1">
            <w:r w:rsidRPr="009B447A">
              <w:rPr>
                <w:rStyle w:val="Hyperlink"/>
                <w:noProof/>
              </w:rPr>
              <w:t>6.2. Limitations</w:t>
            </w:r>
            <w:r>
              <w:rPr>
                <w:noProof/>
                <w:webHidden/>
              </w:rPr>
              <w:tab/>
            </w:r>
            <w:r>
              <w:rPr>
                <w:noProof/>
                <w:webHidden/>
              </w:rPr>
              <w:fldChar w:fldCharType="begin"/>
            </w:r>
            <w:r>
              <w:rPr>
                <w:noProof/>
                <w:webHidden/>
              </w:rPr>
              <w:instrText xml:space="preserve"> PAGEREF _Toc499993218 \h </w:instrText>
            </w:r>
            <w:r>
              <w:rPr>
                <w:noProof/>
                <w:webHidden/>
              </w:rPr>
            </w:r>
            <w:r>
              <w:rPr>
                <w:noProof/>
                <w:webHidden/>
              </w:rPr>
              <w:fldChar w:fldCharType="separate"/>
            </w:r>
            <w:r w:rsidR="00DC63D6">
              <w:rPr>
                <w:noProof/>
                <w:webHidden/>
              </w:rPr>
              <w:t>16</w:t>
            </w:r>
            <w:r>
              <w:rPr>
                <w:noProof/>
                <w:webHidden/>
              </w:rPr>
              <w:fldChar w:fldCharType="end"/>
            </w:r>
          </w:hyperlink>
        </w:p>
        <w:p w:rsidR="00D95401" w:rsidRDefault="00D95401">
          <w:pPr>
            <w:pStyle w:val="TOC2"/>
            <w:tabs>
              <w:tab w:val="right" w:leader="dot" w:pos="9350"/>
            </w:tabs>
            <w:rPr>
              <w:noProof/>
            </w:rPr>
          </w:pPr>
          <w:hyperlink w:anchor="_Toc499993219" w:history="1">
            <w:r w:rsidRPr="009B447A">
              <w:rPr>
                <w:rStyle w:val="Hyperlink"/>
                <w:noProof/>
              </w:rPr>
              <w:t>6.3. Further Exploration</w:t>
            </w:r>
            <w:r>
              <w:rPr>
                <w:noProof/>
                <w:webHidden/>
              </w:rPr>
              <w:tab/>
            </w:r>
            <w:r>
              <w:rPr>
                <w:noProof/>
                <w:webHidden/>
              </w:rPr>
              <w:fldChar w:fldCharType="begin"/>
            </w:r>
            <w:r>
              <w:rPr>
                <w:noProof/>
                <w:webHidden/>
              </w:rPr>
              <w:instrText xml:space="preserve"> PAGEREF _Toc499993219 \h </w:instrText>
            </w:r>
            <w:r>
              <w:rPr>
                <w:noProof/>
                <w:webHidden/>
              </w:rPr>
            </w:r>
            <w:r>
              <w:rPr>
                <w:noProof/>
                <w:webHidden/>
              </w:rPr>
              <w:fldChar w:fldCharType="separate"/>
            </w:r>
            <w:r w:rsidR="00DC63D6">
              <w:rPr>
                <w:noProof/>
                <w:webHidden/>
              </w:rPr>
              <w:t>16</w:t>
            </w:r>
            <w:r>
              <w:rPr>
                <w:noProof/>
                <w:webHidden/>
              </w:rPr>
              <w:fldChar w:fldCharType="end"/>
            </w:r>
          </w:hyperlink>
        </w:p>
        <w:p w:rsidR="00D95401" w:rsidRDefault="00D95401">
          <w:pPr>
            <w:pStyle w:val="TOC1"/>
            <w:tabs>
              <w:tab w:val="right" w:leader="dot" w:pos="9350"/>
            </w:tabs>
            <w:rPr>
              <w:noProof/>
            </w:rPr>
          </w:pPr>
          <w:hyperlink w:anchor="_Toc499993220" w:history="1">
            <w:r w:rsidRPr="009B447A">
              <w:rPr>
                <w:rStyle w:val="Hyperlink"/>
                <w:noProof/>
              </w:rPr>
              <w:t>7. Works Cited</w:t>
            </w:r>
            <w:r>
              <w:rPr>
                <w:noProof/>
                <w:webHidden/>
              </w:rPr>
              <w:tab/>
            </w:r>
            <w:r>
              <w:rPr>
                <w:noProof/>
                <w:webHidden/>
              </w:rPr>
              <w:fldChar w:fldCharType="begin"/>
            </w:r>
            <w:r>
              <w:rPr>
                <w:noProof/>
                <w:webHidden/>
              </w:rPr>
              <w:instrText xml:space="preserve"> PAGEREF _Toc499993220 \h </w:instrText>
            </w:r>
            <w:r>
              <w:rPr>
                <w:noProof/>
                <w:webHidden/>
              </w:rPr>
            </w:r>
            <w:r>
              <w:rPr>
                <w:noProof/>
                <w:webHidden/>
              </w:rPr>
              <w:fldChar w:fldCharType="separate"/>
            </w:r>
            <w:r w:rsidR="00DC63D6">
              <w:rPr>
                <w:noProof/>
                <w:webHidden/>
              </w:rPr>
              <w:t>17</w:t>
            </w:r>
            <w:r>
              <w:rPr>
                <w:noProof/>
                <w:webHidden/>
              </w:rPr>
              <w:fldChar w:fldCharType="end"/>
            </w:r>
          </w:hyperlink>
        </w:p>
        <w:p w:rsidR="00D95401" w:rsidRDefault="00D95401">
          <w:pPr>
            <w:pStyle w:val="TOC1"/>
            <w:tabs>
              <w:tab w:val="right" w:leader="dot" w:pos="9350"/>
            </w:tabs>
            <w:rPr>
              <w:noProof/>
            </w:rPr>
          </w:pPr>
          <w:hyperlink w:anchor="_Toc499993221" w:history="1">
            <w:r w:rsidRPr="009B447A">
              <w:rPr>
                <w:rStyle w:val="Hyperlink"/>
                <w:noProof/>
              </w:rPr>
              <w:t>8. Appendix</w:t>
            </w:r>
            <w:r>
              <w:rPr>
                <w:noProof/>
                <w:webHidden/>
              </w:rPr>
              <w:tab/>
            </w:r>
            <w:r>
              <w:rPr>
                <w:noProof/>
                <w:webHidden/>
              </w:rPr>
              <w:fldChar w:fldCharType="begin"/>
            </w:r>
            <w:r>
              <w:rPr>
                <w:noProof/>
                <w:webHidden/>
              </w:rPr>
              <w:instrText xml:space="preserve"> PAGEREF _Toc499993221 \h </w:instrText>
            </w:r>
            <w:r>
              <w:rPr>
                <w:noProof/>
                <w:webHidden/>
              </w:rPr>
            </w:r>
            <w:r>
              <w:rPr>
                <w:noProof/>
                <w:webHidden/>
              </w:rPr>
              <w:fldChar w:fldCharType="separate"/>
            </w:r>
            <w:r w:rsidR="00DC63D6">
              <w:rPr>
                <w:noProof/>
                <w:webHidden/>
              </w:rPr>
              <w:t>18</w:t>
            </w:r>
            <w:r>
              <w:rPr>
                <w:noProof/>
                <w:webHidden/>
              </w:rPr>
              <w:fldChar w:fldCharType="end"/>
            </w:r>
          </w:hyperlink>
        </w:p>
        <w:p w:rsidR="00D95401" w:rsidRDefault="00D95401">
          <w:pPr>
            <w:pStyle w:val="TOC2"/>
            <w:tabs>
              <w:tab w:val="right" w:leader="dot" w:pos="9350"/>
            </w:tabs>
            <w:rPr>
              <w:noProof/>
            </w:rPr>
          </w:pPr>
          <w:hyperlink w:anchor="_Toc499993222" w:history="1">
            <w:r w:rsidRPr="009B447A">
              <w:rPr>
                <w:rStyle w:val="Hyperlink"/>
                <w:noProof/>
              </w:rPr>
              <w:t>8.1. Data Tables</w:t>
            </w:r>
            <w:r>
              <w:rPr>
                <w:noProof/>
                <w:webHidden/>
              </w:rPr>
              <w:tab/>
            </w:r>
            <w:r>
              <w:rPr>
                <w:noProof/>
                <w:webHidden/>
              </w:rPr>
              <w:fldChar w:fldCharType="begin"/>
            </w:r>
            <w:r>
              <w:rPr>
                <w:noProof/>
                <w:webHidden/>
              </w:rPr>
              <w:instrText xml:space="preserve"> PAGEREF _Toc499993222 \h </w:instrText>
            </w:r>
            <w:r>
              <w:rPr>
                <w:noProof/>
                <w:webHidden/>
              </w:rPr>
            </w:r>
            <w:r>
              <w:rPr>
                <w:noProof/>
                <w:webHidden/>
              </w:rPr>
              <w:fldChar w:fldCharType="separate"/>
            </w:r>
            <w:r w:rsidR="00DC63D6">
              <w:rPr>
                <w:noProof/>
                <w:webHidden/>
              </w:rPr>
              <w:t>18</w:t>
            </w:r>
            <w:r>
              <w:rPr>
                <w:noProof/>
                <w:webHidden/>
              </w:rPr>
              <w:fldChar w:fldCharType="end"/>
            </w:r>
          </w:hyperlink>
        </w:p>
        <w:p w:rsidR="00D95401" w:rsidRDefault="00D95401">
          <w:pPr>
            <w:pStyle w:val="TOC2"/>
            <w:tabs>
              <w:tab w:val="right" w:leader="dot" w:pos="9350"/>
            </w:tabs>
            <w:rPr>
              <w:noProof/>
            </w:rPr>
          </w:pPr>
          <w:hyperlink w:anchor="_Toc499993223" w:history="1">
            <w:r w:rsidRPr="009B447A">
              <w:rPr>
                <w:rStyle w:val="Hyperlink"/>
                <w:noProof/>
              </w:rPr>
              <w:t>8.2. R Code Summary</w:t>
            </w:r>
            <w:r>
              <w:rPr>
                <w:noProof/>
                <w:webHidden/>
              </w:rPr>
              <w:tab/>
            </w:r>
            <w:r>
              <w:rPr>
                <w:noProof/>
                <w:webHidden/>
              </w:rPr>
              <w:fldChar w:fldCharType="begin"/>
            </w:r>
            <w:r>
              <w:rPr>
                <w:noProof/>
                <w:webHidden/>
              </w:rPr>
              <w:instrText xml:space="preserve"> PAGEREF _Toc499993223 \h </w:instrText>
            </w:r>
            <w:r>
              <w:rPr>
                <w:noProof/>
                <w:webHidden/>
              </w:rPr>
            </w:r>
            <w:r>
              <w:rPr>
                <w:noProof/>
                <w:webHidden/>
              </w:rPr>
              <w:fldChar w:fldCharType="separate"/>
            </w:r>
            <w:r w:rsidR="00DC63D6">
              <w:rPr>
                <w:noProof/>
                <w:webHidden/>
              </w:rPr>
              <w:t>18</w:t>
            </w:r>
            <w:r>
              <w:rPr>
                <w:noProof/>
                <w:webHidden/>
              </w:rPr>
              <w:fldChar w:fldCharType="end"/>
            </w:r>
          </w:hyperlink>
        </w:p>
        <w:p w:rsidR="00866F51" w:rsidRDefault="00866F51" w:rsidP="00392A80">
          <w:pPr>
            <w:spacing w:before="120" w:after="120" w:line="360" w:lineRule="auto"/>
            <w:jc w:val="both"/>
          </w:pPr>
          <w:r>
            <w:rPr>
              <w:b/>
              <w:bCs/>
              <w:noProof/>
            </w:rPr>
            <w:fldChar w:fldCharType="end"/>
          </w:r>
        </w:p>
      </w:sdtContent>
    </w:sdt>
    <w:p w:rsidR="00866F51" w:rsidRDefault="00866F51" w:rsidP="00392A80">
      <w:pPr>
        <w:spacing w:before="120" w:after="120" w:line="360" w:lineRule="auto"/>
        <w:jc w:val="both"/>
        <w:rPr>
          <w:rFonts w:asciiTheme="majorHAnsi" w:hAnsiTheme="majorHAnsi"/>
          <w:sz w:val="24"/>
        </w:rPr>
      </w:pPr>
      <w:r>
        <w:rPr>
          <w:rFonts w:asciiTheme="majorHAnsi" w:hAnsiTheme="majorHAnsi"/>
          <w:sz w:val="24"/>
        </w:rPr>
        <w:br w:type="page"/>
      </w:r>
    </w:p>
    <w:p w:rsidR="005C4A94" w:rsidRDefault="00866F51" w:rsidP="00231767">
      <w:pPr>
        <w:pStyle w:val="Heading1"/>
        <w:spacing w:before="120" w:after="240" w:line="360" w:lineRule="auto"/>
        <w:jc w:val="both"/>
      </w:pPr>
      <w:bookmarkStart w:id="1" w:name="_Toc499993200"/>
      <w:r>
        <w:lastRenderedPageBreak/>
        <w:t>1. Introduction</w:t>
      </w:r>
      <w:bookmarkEnd w:id="1"/>
    </w:p>
    <w:p w:rsidR="002950E9" w:rsidRDefault="00E61E01" w:rsidP="00231767">
      <w:pPr>
        <w:spacing w:before="120" w:after="240" w:line="360" w:lineRule="auto"/>
        <w:jc w:val="both"/>
      </w:pPr>
      <w:r>
        <w:t xml:space="preserve">Our increasingly data-driven world has </w:t>
      </w:r>
      <w:r w:rsidR="0020231D">
        <w:t xml:space="preserve">sparked </w:t>
      </w:r>
      <w:r w:rsidR="00612DA6">
        <w:t xml:space="preserve">a surge of </w:t>
      </w:r>
      <w:r w:rsidR="0020231D">
        <w:t xml:space="preserve">awareness, discussion, and innovation regarding </w:t>
      </w:r>
      <w:r w:rsidR="00612DA6">
        <w:t xml:space="preserve">the application of artificial intelligence to </w:t>
      </w:r>
      <w:r w:rsidR="00187BD6">
        <w:t xml:space="preserve">all </w:t>
      </w:r>
      <w:r w:rsidR="002B3E7C">
        <w:t xml:space="preserve">aspects of </w:t>
      </w:r>
      <w:r w:rsidR="00612DA6">
        <w:t>our daily lives</w:t>
      </w:r>
      <w:r w:rsidR="00120CB7">
        <w:t>.</w:t>
      </w:r>
      <w:r w:rsidR="002B3E7C">
        <w:t xml:space="preserve"> </w:t>
      </w:r>
      <w:r w:rsidR="006C5C6F">
        <w:t>Google Alphabet’s DeepMind</w:t>
      </w:r>
      <w:r w:rsidR="00B2066B">
        <w:t xml:space="preserve"> is one of the leading groups in the field, and focused much of its recent efforts on t</w:t>
      </w:r>
      <w:r w:rsidR="006C5C6F">
        <w:t xml:space="preserve">he development of AlphaGo, a </w:t>
      </w:r>
      <w:r w:rsidR="00B2066B">
        <w:t>super-program</w:t>
      </w:r>
      <w:r w:rsidR="006C5C6F">
        <w:t xml:space="preserve"> designed to beat the game of Go</w:t>
      </w:r>
      <w:r w:rsidR="000546FB">
        <w:t>.</w:t>
      </w:r>
    </w:p>
    <w:p w:rsidR="000546FB" w:rsidRDefault="000546FB" w:rsidP="00231767">
      <w:pPr>
        <w:spacing w:before="120" w:after="240" w:line="360" w:lineRule="auto"/>
        <w:jc w:val="both"/>
      </w:pPr>
      <w:r>
        <w:t xml:space="preserve">AlphaGo’s challenge of Go is </w:t>
      </w:r>
      <w:r w:rsidR="002950E9">
        <w:t xml:space="preserve">in many ways </w:t>
      </w:r>
      <w:r>
        <w:t>reminiscent of IBM’s Deep Blue’s challenge of the game of chess back 1997</w:t>
      </w:r>
      <w:r w:rsidR="002950E9">
        <w:t xml:space="preserve"> – it represents </w:t>
      </w:r>
      <w:r w:rsidR="009E39F9">
        <w:t>the newfound potential of</w:t>
      </w:r>
      <w:r w:rsidR="002B3E7C">
        <w:t xml:space="preserve"> </w:t>
      </w:r>
      <w:r w:rsidR="002950E9">
        <w:t xml:space="preserve">artificial intelligence, </w:t>
      </w:r>
      <w:r w:rsidR="002B3E7C">
        <w:t>and</w:t>
      </w:r>
      <w:r w:rsidR="002950E9">
        <w:t xml:space="preserve"> stand</w:t>
      </w:r>
      <w:r w:rsidR="00B2066B">
        <w:t>s</w:t>
      </w:r>
      <w:r w:rsidR="002950E9">
        <w:t xml:space="preserve"> to drastically shape </w:t>
      </w:r>
      <w:r w:rsidR="009E39F9">
        <w:t>the way we</w:t>
      </w:r>
      <w:r w:rsidR="002B3E7C">
        <w:t xml:space="preserve"> interact with </w:t>
      </w:r>
      <w:r w:rsidR="002950E9">
        <w:t>the world for years to come.</w:t>
      </w:r>
    </w:p>
    <w:p w:rsidR="002B3E7C" w:rsidRPr="008B4726" w:rsidRDefault="009E39F9" w:rsidP="00231767">
      <w:pPr>
        <w:spacing w:before="120" w:after="240" w:line="360" w:lineRule="auto"/>
        <w:jc w:val="both"/>
      </w:pPr>
      <w:r>
        <w:t>To date, the machine learning methods behind AlphaGo ha</w:t>
      </w:r>
      <w:r w:rsidR="00FC0AED">
        <w:t xml:space="preserve">ve already been utilized in </w:t>
      </w:r>
      <w:r>
        <w:t xml:space="preserve">the sectors of energy efficiency and public healthcare. At Google, DeepMind’s program </w:t>
      </w:r>
      <w:r w:rsidR="00FC0AED">
        <w:t xml:space="preserve">reduced data-center cooling costs by 40%. Meanwhile, in </w:t>
      </w:r>
      <w:r w:rsidR="008B4726">
        <w:t>public healthcare</w:t>
      </w:r>
      <w:r w:rsidR="00FC0AED">
        <w:t xml:space="preserve">, DeepMind is collaborating with NHS groups to </w:t>
      </w:r>
      <w:r w:rsidR="008B4726">
        <w:t>save lives and streamline systems</w:t>
      </w:r>
      <w:r w:rsidR="00FC0AED">
        <w:t xml:space="preserve"> by </w:t>
      </w:r>
      <w:r w:rsidR="008B4726">
        <w:t xml:space="preserve">adjusting </w:t>
      </w:r>
      <w:r w:rsidR="00FC0AED">
        <w:t>diagnosis and risk-assessment procedures</w:t>
      </w:r>
      <w:r w:rsidR="008B4726">
        <w:t xml:space="preserve"> (</w:t>
      </w:r>
      <w:r w:rsidR="008B4726" w:rsidRPr="00A5601A">
        <w:rPr>
          <w:rFonts w:cstheme="minorHAnsi"/>
          <w:i/>
          <w:iCs/>
          <w:color w:val="000000"/>
        </w:rPr>
        <w:t>DeepMind</w:t>
      </w:r>
      <w:r w:rsidR="008B4726">
        <w:rPr>
          <w:rFonts w:cstheme="minorHAnsi"/>
          <w:iCs/>
          <w:color w:val="000000"/>
        </w:rPr>
        <w:t>).</w:t>
      </w:r>
    </w:p>
    <w:p w:rsidR="00866F51" w:rsidRDefault="00866F51" w:rsidP="00231767">
      <w:pPr>
        <w:pStyle w:val="Heading1"/>
        <w:spacing w:before="120" w:after="240" w:line="360" w:lineRule="auto"/>
        <w:jc w:val="both"/>
      </w:pPr>
      <w:bookmarkStart w:id="2" w:name="_Toc499993201"/>
      <w:r>
        <w:t>2. Context</w:t>
      </w:r>
      <w:bookmarkEnd w:id="2"/>
    </w:p>
    <w:p w:rsidR="00866F51" w:rsidRDefault="00866F51" w:rsidP="00231767">
      <w:pPr>
        <w:pStyle w:val="Heading2"/>
        <w:spacing w:before="120" w:after="240" w:line="360" w:lineRule="auto"/>
        <w:jc w:val="both"/>
      </w:pPr>
      <w:bookmarkStart w:id="3" w:name="_Toc499993202"/>
      <w:r>
        <w:t xml:space="preserve">2.1. </w:t>
      </w:r>
      <w:r w:rsidR="00C51541">
        <w:t>The Millenia-Old Game</w:t>
      </w:r>
      <w:bookmarkEnd w:id="3"/>
    </w:p>
    <w:p w:rsidR="00C51541" w:rsidRDefault="00C51541" w:rsidP="00231767">
      <w:pPr>
        <w:spacing w:before="120" w:after="240" w:line="360" w:lineRule="auto"/>
        <w:jc w:val="both"/>
      </w:pPr>
      <w:r>
        <w:t>Go</w:t>
      </w:r>
      <w:r w:rsidR="001D65B4">
        <w:rPr>
          <w:rStyle w:val="FootnoteReference"/>
        </w:rPr>
        <w:footnoteReference w:id="2"/>
      </w:r>
      <w:r>
        <w:t>, one of the oldest board games in the world, originated some 3000-4000 years ago in Ancient China. Shortly after its invention, it spread by politics and commerce to neighboring countries in the Far East, and has since become an integral aspect of tradition and culture in China, Korea, and Japan</w:t>
      </w:r>
      <w:r w:rsidR="001D65B4">
        <w:t xml:space="preserve"> (</w:t>
      </w:r>
      <w:r w:rsidR="00494EA5" w:rsidRPr="00815842">
        <w:rPr>
          <w:rFonts w:cstheme="minorHAnsi"/>
        </w:rPr>
        <w:t>“The Ancient Chinese Game of Go</w:t>
      </w:r>
      <w:r w:rsidR="00494EA5">
        <w:rPr>
          <w:rFonts w:cstheme="minorHAnsi"/>
        </w:rPr>
        <w:t>”)</w:t>
      </w:r>
      <w:r>
        <w:t xml:space="preserve">. Over the recent decades, </w:t>
      </w:r>
      <w:proofErr w:type="gramStart"/>
      <w:r>
        <w:t>Go</w:t>
      </w:r>
      <w:proofErr w:type="gramEnd"/>
      <w:r>
        <w:t xml:space="preserve"> has become increasingly popular in the West</w:t>
      </w:r>
      <w:r w:rsidR="001D65B4">
        <w:t>:</w:t>
      </w:r>
      <w:r>
        <w:t xml:space="preserve"> in the US, the game is organized and promoted by American Go Association (AGA)</w:t>
      </w:r>
      <w:r w:rsidR="001D65B4">
        <w:t>;</w:t>
      </w:r>
      <w:r>
        <w:t xml:space="preserve"> in Europe, the European Go Federation (EGF) facilitates collaboration between organizing bodies in over 30 member</w:t>
      </w:r>
      <w:r w:rsidR="001D65B4">
        <w:t>-</w:t>
      </w:r>
      <w:r>
        <w:t>countries</w:t>
      </w:r>
      <w:r w:rsidR="00494EA5">
        <w:t xml:space="preserve"> (“</w:t>
      </w:r>
      <w:r w:rsidR="00494EA5" w:rsidRPr="00815842">
        <w:rPr>
          <w:rFonts w:cstheme="minorHAnsi"/>
        </w:rPr>
        <w:t>American Go Association</w:t>
      </w:r>
      <w:r w:rsidR="00494EA5">
        <w:rPr>
          <w:rFonts w:cstheme="minorHAnsi"/>
        </w:rPr>
        <w:t>” and “</w:t>
      </w:r>
      <w:r w:rsidR="00494EA5" w:rsidRPr="00815842">
        <w:rPr>
          <w:rFonts w:cstheme="minorHAnsi"/>
        </w:rPr>
        <w:t>About the European Go Federation</w:t>
      </w:r>
      <w:r w:rsidR="00494EA5">
        <w:rPr>
          <w:rFonts w:cstheme="minorHAnsi"/>
        </w:rPr>
        <w:t>”)</w:t>
      </w:r>
      <w:r>
        <w:t>.</w:t>
      </w:r>
    </w:p>
    <w:p w:rsidR="00C51541" w:rsidRDefault="00C51541" w:rsidP="00231767">
      <w:pPr>
        <w:spacing w:before="120" w:after="240" w:line="360" w:lineRule="auto"/>
        <w:jc w:val="both"/>
      </w:pPr>
      <w:r>
        <w:lastRenderedPageBreak/>
        <w:t xml:space="preserve">Go is a sequential, two-player strategy game played on a 19x19 board of gridlines, using black and white stones. Each stone is played on an intersection, and, unlike chess, has no special trait – in other words, </w:t>
      </w:r>
      <w:r w:rsidR="001D65B4">
        <w:t>each stone’s</w:t>
      </w:r>
      <w:r>
        <w:t xml:space="preserve"> value is determined solely by its position on the Go board</w:t>
      </w:r>
      <w:r w:rsidR="001D65B4">
        <w:rPr>
          <w:rStyle w:val="FootnoteReference"/>
        </w:rPr>
        <w:footnoteReference w:id="3"/>
      </w:r>
      <w:r>
        <w:t>.</w:t>
      </w:r>
    </w:p>
    <w:p w:rsidR="00C51541" w:rsidRDefault="00C51541" w:rsidP="00231767">
      <w:pPr>
        <w:spacing w:before="120" w:after="240" w:line="360" w:lineRule="auto"/>
        <w:jc w:val="both"/>
      </w:pPr>
      <w:r>
        <w:t xml:space="preserve">Whereas the winning condition of chess is to capture a specific game-piece, the aim of Go is to secure more “territory” than your opponent by the end of the game, rather than capture your opponent’s pieces. “Territory” is counted by the number of intersections under a player’s control. Because of the size of the board and the open-ended winning condition, </w:t>
      </w:r>
      <w:proofErr w:type="gramStart"/>
      <w:r>
        <w:t>Go</w:t>
      </w:r>
      <w:proofErr w:type="gramEnd"/>
      <w:r>
        <w:t xml:space="preserve"> allows for a plethora of playstyles, tactics, and outcomes – mathematically, the number of possible configurations on a Go board far exceeds the number of atoms in our universe</w:t>
      </w:r>
      <w:r w:rsidR="00494EA5">
        <w:rPr>
          <w:rStyle w:val="FootnoteReference"/>
        </w:rPr>
        <w:footnoteReference w:id="4"/>
      </w:r>
      <w:r>
        <w:t>!</w:t>
      </w:r>
    </w:p>
    <w:p w:rsidR="00C51541" w:rsidRDefault="00C51541" w:rsidP="00231767">
      <w:pPr>
        <w:pStyle w:val="Heading2"/>
        <w:spacing w:before="120" w:after="240" w:line="360" w:lineRule="auto"/>
        <w:jc w:val="both"/>
      </w:pPr>
      <w:bookmarkStart w:id="4" w:name="_Toc499993203"/>
      <w:r>
        <w:t>2.2. The History of an Invincible AI</w:t>
      </w:r>
      <w:bookmarkEnd w:id="4"/>
    </w:p>
    <w:p w:rsidR="00DA3626" w:rsidRDefault="003B0550" w:rsidP="00231767">
      <w:pPr>
        <w:spacing w:before="120" w:after="240" w:line="360" w:lineRule="auto"/>
        <w:jc w:val="both"/>
      </w:pPr>
      <w:r>
        <w:t xml:space="preserve">In </w:t>
      </w:r>
      <w:r w:rsidR="00DA3626">
        <w:t xml:space="preserve">March </w:t>
      </w:r>
      <w:r>
        <w:t xml:space="preserve">2016, </w:t>
      </w:r>
      <w:r w:rsidR="006F7973">
        <w:t xml:space="preserve">AlphaGo stunned the Go world by </w:t>
      </w:r>
      <w:r w:rsidR="00DA3626">
        <w:t xml:space="preserve">defeating 9-dan professional player Lee Sedol </w:t>
      </w:r>
      <w:r w:rsidR="00B24430">
        <w:t xml:space="preserve">of </w:t>
      </w:r>
      <w:r w:rsidR="00DA3626">
        <w:t>South Korea 4:1 in a five-</w:t>
      </w:r>
      <w:r w:rsidR="004C26C1">
        <w:t>match</w:t>
      </w:r>
      <w:r w:rsidR="00DA3626">
        <w:t xml:space="preserve"> series. At the time, Lee Sedol held 18 international Go titles, and was widely considered one of the </w:t>
      </w:r>
      <w:r w:rsidR="00F63025">
        <w:t>most experienced and skillful</w:t>
      </w:r>
      <w:r w:rsidR="00DA3626">
        <w:t xml:space="preserve"> Go players in the world.</w:t>
      </w:r>
    </w:p>
    <w:p w:rsidR="00842721" w:rsidRDefault="004C26C1" w:rsidP="00231767">
      <w:pPr>
        <w:spacing w:before="120" w:after="240" w:line="360" w:lineRule="auto"/>
        <w:jc w:val="both"/>
      </w:pPr>
      <w:r>
        <w:t>In May 2017</w:t>
      </w:r>
      <w:r w:rsidR="00DA3626">
        <w:t xml:space="preserve">, AlphaGo </w:t>
      </w:r>
      <w:r>
        <w:t>challenged</w:t>
      </w:r>
      <w:r w:rsidR="00DA3626">
        <w:t xml:space="preserve"> </w:t>
      </w:r>
      <w:proofErr w:type="spellStart"/>
      <w:r>
        <w:t>Ke</w:t>
      </w:r>
      <w:proofErr w:type="spellEnd"/>
      <w:r>
        <w:t xml:space="preserve"> </w:t>
      </w:r>
      <w:proofErr w:type="spellStart"/>
      <w:r>
        <w:t>Jie</w:t>
      </w:r>
      <w:proofErr w:type="spellEnd"/>
      <w:r>
        <w:t xml:space="preserve"> (China), then the top ranked player in the world. AlphaGo </w:t>
      </w:r>
      <w:r w:rsidR="00842721">
        <w:t>won</w:t>
      </w:r>
      <w:r>
        <w:t xml:space="preserve"> all games of the three-match series, and short</w:t>
      </w:r>
      <w:r w:rsidR="00842721">
        <w:t>ly</w:t>
      </w:r>
      <w:r>
        <w:t xml:space="preserve"> after retired </w:t>
      </w:r>
      <w:r w:rsidR="00697C0F">
        <w:t xml:space="preserve">from competitive play </w:t>
      </w:r>
      <w:r>
        <w:t>as the new top ranked player</w:t>
      </w:r>
      <w:r w:rsidR="00842721">
        <w:t>. And so, Go’s time as the last unsolved, human-dominated game came to a sudden end; prior to the official matches, many experts had expected human players to retain an edge over AI for several more year</w:t>
      </w:r>
      <w:r w:rsidR="009816D5">
        <w:t>s</w:t>
      </w:r>
      <w:r w:rsidR="00842721">
        <w:t>.</w:t>
      </w:r>
    </w:p>
    <w:p w:rsidR="00D51C21" w:rsidRDefault="00842721" w:rsidP="00231767">
      <w:pPr>
        <w:spacing w:before="120" w:after="240" w:line="360" w:lineRule="auto"/>
        <w:jc w:val="both"/>
      </w:pPr>
      <w:r>
        <w:t xml:space="preserve">In addition to </w:t>
      </w:r>
      <w:proofErr w:type="gramStart"/>
      <w:r>
        <w:t>being</w:t>
      </w:r>
      <w:proofErr w:type="gramEnd"/>
      <w:r>
        <w:t xml:space="preserve"> the first Go program to beat a professionally-ranked player, AlphaGo revolutionized </w:t>
      </w:r>
      <w:r w:rsidR="00185955">
        <w:t>attitudes towards Go by playing inventive moves which often contradicted traditional Go theory, but eventually led to favorable positions</w:t>
      </w:r>
      <w:r w:rsidR="009816D5">
        <w:rPr>
          <w:rStyle w:val="FootnoteReference"/>
        </w:rPr>
        <w:footnoteReference w:id="5"/>
      </w:r>
      <w:r w:rsidR="00185955">
        <w:t>.</w:t>
      </w:r>
      <w:r w:rsidR="00D51C21">
        <w:t xml:space="preserve"> According to experts, AlphaGo’s strategy is said to “</w:t>
      </w:r>
      <w:r w:rsidR="00D51C21" w:rsidRPr="00D51C21">
        <w:t>embodies a spirit of flexibility and open-mindedness</w:t>
      </w:r>
      <w:r w:rsidR="00D51C21">
        <w:t xml:space="preserve">”. 9-dan World Champion </w:t>
      </w:r>
      <w:r w:rsidR="00D51C21" w:rsidRPr="00D51C21">
        <w:t xml:space="preserve">Zhou </w:t>
      </w:r>
      <w:proofErr w:type="spellStart"/>
      <w:r w:rsidR="00D51C21" w:rsidRPr="00D51C21">
        <w:t>Ruiyang</w:t>
      </w:r>
      <w:proofErr w:type="spellEnd"/>
      <w:r w:rsidR="00D51C21">
        <w:t xml:space="preserve"> noted that AlphaGo taught the world of Go that “</w:t>
      </w:r>
      <w:r w:rsidR="00D51C21" w:rsidRPr="00D51C21">
        <w:t xml:space="preserve">no move </w:t>
      </w:r>
      <w:r w:rsidR="00D51C21">
        <w:t xml:space="preserve">is </w:t>
      </w:r>
      <w:r w:rsidR="00D51C21" w:rsidRPr="00D51C21">
        <w:t>impossible</w:t>
      </w:r>
      <w:r w:rsidR="00D51C21">
        <w:t>” (</w:t>
      </w:r>
      <w:r w:rsidR="00D51C21">
        <w:rPr>
          <w:i/>
        </w:rPr>
        <w:t>DeepMind</w:t>
      </w:r>
      <w:r w:rsidR="00D51C21" w:rsidRPr="00D51C21">
        <w:t>)</w:t>
      </w:r>
      <w:r w:rsidR="00D51C21">
        <w:t>.</w:t>
      </w:r>
    </w:p>
    <w:p w:rsidR="00C51541" w:rsidRPr="003A5F52" w:rsidRDefault="00D51C21" w:rsidP="00231767">
      <w:pPr>
        <w:spacing w:before="120" w:after="240" w:line="360" w:lineRule="auto"/>
        <w:jc w:val="both"/>
      </w:pPr>
      <w:r>
        <w:lastRenderedPageBreak/>
        <w:t xml:space="preserve">AlphaGo’s </w:t>
      </w:r>
      <w:r w:rsidR="003A5F52">
        <w:t>success serves as a challenge and source of inspiration for us to examine our assumptions and perceptions of knowledge, to think and innovate beyond the scope of what works.</w:t>
      </w:r>
    </w:p>
    <w:p w:rsidR="00C51541" w:rsidRDefault="00C51541" w:rsidP="00231767">
      <w:pPr>
        <w:pStyle w:val="Heading2"/>
        <w:spacing w:before="120" w:after="240" w:line="360" w:lineRule="auto"/>
        <w:jc w:val="both"/>
      </w:pPr>
      <w:bookmarkStart w:id="5" w:name="_Toc499993204"/>
      <w:r>
        <w:t>2.3. AlphaGo’s Algorithm</w:t>
      </w:r>
      <w:bookmarkEnd w:id="5"/>
    </w:p>
    <w:p w:rsidR="00C51541" w:rsidRDefault="00C51541" w:rsidP="00231767">
      <w:pPr>
        <w:spacing w:before="120" w:after="240" w:line="360" w:lineRule="auto"/>
        <w:jc w:val="both"/>
      </w:pPr>
      <w:r>
        <w:t>Due to the sheer number of possibilities in Go, traditional “brute-force” search trees which run through all legal variations are not only highly inefficient, but also implausible to implement in a time-constrained scenario. Additionally, the open-ended nature of the game makes it difficult for AlphaGo to rely on preset heuristics – “rules of thumbs” or “mental shortcuts” which help the algorithm select higher value moves. Schaeffer takes this a step further and claims that, unlike in chess, there are “no dominant heuristics” in Go</w:t>
      </w:r>
      <w:r w:rsidR="00061A23">
        <w:t xml:space="preserve"> (Byford)</w:t>
      </w:r>
      <w:r>
        <w:t>. In hindsight, AlphaGo’s unorthodox gameplay seems to imply that even if dominant heuristics exist, human players have not been able to properly identify and understand them.</w:t>
      </w:r>
    </w:p>
    <w:p w:rsidR="00C51541" w:rsidRDefault="00C51541" w:rsidP="00231767">
      <w:pPr>
        <w:spacing w:before="120" w:after="240" w:line="360" w:lineRule="auto"/>
        <w:jc w:val="both"/>
      </w:pPr>
      <w:r>
        <w:t>To avoid such issues, AlphaGo combines advanced tree searches and deep neural networks in its algorithm. Its Monte Carlo tree search system randomly samples possible moves and analyzes the most promising ones. After comparing the outcomes of selected moves, AlphaGo tweaks “weights” in its network which influence its sampling and move-analysis. By repeating this over the course of many self-played games and referring to records of many human-played games</w:t>
      </w:r>
      <w:r w:rsidR="00061A23">
        <w:rPr>
          <w:rStyle w:val="FootnoteReference"/>
        </w:rPr>
        <w:footnoteReference w:id="6"/>
      </w:r>
      <w:r>
        <w:t xml:space="preserve">, AlphaGo </w:t>
      </w:r>
      <w:proofErr w:type="gramStart"/>
      <w:r>
        <w:t>is able to</w:t>
      </w:r>
      <w:proofErr w:type="gramEnd"/>
      <w:r>
        <w:t xml:space="preserve"> significantly improve its chances of sampling “good” moves</w:t>
      </w:r>
      <w:r w:rsidR="00061A23">
        <w:t xml:space="preserve"> (Byford, Hassabis, and </w:t>
      </w:r>
      <w:r w:rsidR="00061A23" w:rsidRPr="00037834">
        <w:rPr>
          <w:rFonts w:cstheme="minorHAnsi"/>
        </w:rPr>
        <w:t>“Monte Carlo Tree Search</w:t>
      </w:r>
      <w:r w:rsidR="00061A23">
        <w:rPr>
          <w:rFonts w:cstheme="minorHAnsi"/>
        </w:rPr>
        <w:t>”)</w:t>
      </w:r>
      <w:r>
        <w:t>.</w:t>
      </w:r>
    </w:p>
    <w:p w:rsidR="005A2BA4" w:rsidRDefault="00C51541" w:rsidP="00231767">
      <w:pPr>
        <w:spacing w:before="120" w:after="240" w:line="360" w:lineRule="auto"/>
        <w:jc w:val="both"/>
      </w:pPr>
      <w:r>
        <w:t>AlphaGo’s in-game decision-making can be summarized by a “policy” network and a “value” network. The “policy” network predicts the next move to play, reducing the range of initial moves which are evaluated; meanwhile, the “value” network predicts the winning probability of an initial move, so the sub-variations of each selected move do not need to be played out in full</w:t>
      </w:r>
      <w:r w:rsidR="00061A23">
        <w:t xml:space="preserve"> (Byford, Hassabis and </w:t>
      </w:r>
      <w:r w:rsidR="00061A23">
        <w:rPr>
          <w:i/>
        </w:rPr>
        <w:t>DeepMind</w:t>
      </w:r>
      <w:r w:rsidR="00061A23">
        <w:t>)</w:t>
      </w:r>
      <w:r>
        <w:t>. The move chosen is the one with the highest winning probability. If AlphaGo’s highest winning probability falls below a preset threshold, it automatically forfeits</w:t>
      </w:r>
      <w:r w:rsidR="00061A23">
        <w:t xml:space="preserve"> (</w:t>
      </w:r>
      <w:r w:rsidR="00061A23">
        <w:rPr>
          <w:i/>
        </w:rPr>
        <w:t>DeepMind</w:t>
      </w:r>
      <w:r w:rsidR="00061A23">
        <w:t>)</w:t>
      </w:r>
      <w:r>
        <w:t>.</w:t>
      </w:r>
      <w:r w:rsidR="00061A23">
        <w:rPr>
          <w:rStyle w:val="FootnoteReference"/>
        </w:rPr>
        <w:footnoteReference w:id="7"/>
      </w:r>
      <w:bookmarkStart w:id="6" w:name="_Hlk499983005"/>
    </w:p>
    <w:p w:rsidR="00C51541" w:rsidRDefault="00C51541" w:rsidP="00231767">
      <w:pPr>
        <w:pStyle w:val="Heading1"/>
        <w:spacing w:before="120" w:after="240" w:line="360" w:lineRule="auto"/>
        <w:jc w:val="both"/>
      </w:pPr>
      <w:bookmarkStart w:id="7" w:name="_Toc499993205"/>
      <w:bookmarkEnd w:id="6"/>
      <w:r>
        <w:lastRenderedPageBreak/>
        <w:t>3. Overview of Study</w:t>
      </w:r>
      <w:bookmarkEnd w:id="7"/>
    </w:p>
    <w:p w:rsidR="00C51541" w:rsidRDefault="00C51541" w:rsidP="00231767">
      <w:pPr>
        <w:pStyle w:val="Heading2"/>
        <w:spacing w:before="120" w:after="240" w:line="360" w:lineRule="auto"/>
        <w:jc w:val="both"/>
      </w:pPr>
      <w:bookmarkStart w:id="8" w:name="_Toc499993206"/>
      <w:r>
        <w:t>3.1. Aim</w:t>
      </w:r>
      <w:bookmarkEnd w:id="8"/>
    </w:p>
    <w:p w:rsidR="00C51541" w:rsidRDefault="00C51541" w:rsidP="00231767">
      <w:pPr>
        <w:spacing w:before="120" w:after="240" w:line="360" w:lineRule="auto"/>
        <w:jc w:val="both"/>
      </w:pPr>
      <w:r>
        <w:t xml:space="preserve">This study approaches the in-game mechanics of Go from two specific angles: firstly, how can </w:t>
      </w:r>
      <w:r w:rsidR="00432B72">
        <w:t xml:space="preserve">tempo and win-rates – key indicators of game mechanics – </w:t>
      </w:r>
      <w:r>
        <w:t>be measured and compare</w:t>
      </w:r>
      <w:r w:rsidR="00432B72">
        <w:t>d</w:t>
      </w:r>
      <w:r>
        <w:t>? How does this compare across Black, who has a first-mover advantage, and White, who has an initial territory advantage? Secondly, how do such predictions and trends</w:t>
      </w:r>
      <w:r w:rsidR="00C56172">
        <w:t>, if any,</w:t>
      </w:r>
      <w:r>
        <w:t xml:space="preserve"> compare across the three categories of AI vs. AI, AI vs. Player, and Player vs. Player?</w:t>
      </w:r>
    </w:p>
    <w:p w:rsidR="00C51541" w:rsidRDefault="00C56172" w:rsidP="00231767">
      <w:pPr>
        <w:spacing w:before="120" w:after="240" w:line="360" w:lineRule="auto"/>
        <w:jc w:val="both"/>
      </w:pPr>
      <w:r>
        <w:t>Tempo will be quantified using a simple measure of distance</w:t>
      </w:r>
      <w:r w:rsidR="00C51541">
        <w:t xml:space="preserve">. Given the intrinsic difficulty </w:t>
      </w:r>
      <w:r w:rsidR="00B825C6">
        <w:t>of</w:t>
      </w:r>
      <w:r w:rsidR="00C51541">
        <w:t xml:space="preserve"> quantifying Go gameplay, I will also discuss methodological limitations </w:t>
      </w:r>
      <w:r>
        <w:t>and further exploration</w:t>
      </w:r>
      <w:r w:rsidR="00C51541">
        <w:t>.</w:t>
      </w:r>
    </w:p>
    <w:p w:rsidR="00C51541" w:rsidRPr="00C51541" w:rsidRDefault="00C51541" w:rsidP="00231767">
      <w:pPr>
        <w:pStyle w:val="Heading2"/>
        <w:spacing w:before="120" w:after="240" w:line="360" w:lineRule="auto"/>
        <w:jc w:val="both"/>
      </w:pPr>
      <w:bookmarkStart w:id="9" w:name="_Toc499993207"/>
      <w:r>
        <w:t>3.2. Hypothesis</w:t>
      </w:r>
      <w:bookmarkEnd w:id="9"/>
    </w:p>
    <w:p w:rsidR="00C51541" w:rsidRDefault="00C51541" w:rsidP="00231767">
      <w:pPr>
        <w:spacing w:before="120" w:after="240" w:line="360" w:lineRule="auto"/>
        <w:jc w:val="both"/>
        <w:rPr>
          <w:b/>
        </w:rPr>
      </w:pPr>
      <w:r w:rsidRPr="00C51541">
        <w:rPr>
          <w:b/>
        </w:rPr>
        <w:t>Win-Rates</w:t>
      </w:r>
    </w:p>
    <w:p w:rsidR="00C51541" w:rsidRDefault="00C51541" w:rsidP="00231767">
      <w:pPr>
        <w:spacing w:before="120" w:after="240" w:line="360" w:lineRule="auto"/>
        <w:jc w:val="both"/>
      </w:pPr>
      <w:r>
        <w:t>Black’s first-mover advantage is compensated by “</w:t>
      </w:r>
      <w:proofErr w:type="spellStart"/>
      <w:r>
        <w:t>komi</w:t>
      </w:r>
      <w:proofErr w:type="spellEnd"/>
      <w:r>
        <w:t>”, an initial territorial advantage between 5-8 points</w:t>
      </w:r>
      <w:r w:rsidR="00C56172">
        <w:rPr>
          <w:rStyle w:val="FootnoteReference"/>
        </w:rPr>
        <w:footnoteReference w:id="8"/>
      </w:r>
      <w:r>
        <w:t xml:space="preserve"> given to White, depending on the counting method. Since this number </w:t>
      </w:r>
      <w:r w:rsidR="00471B81">
        <w:t>is carefully monitored and adjusted by professionals</w:t>
      </w:r>
      <w:r>
        <w:t>, it is reasonable to assume that it accurately nullifies Black’s advantage. Thus, th</w:t>
      </w:r>
      <w:r w:rsidR="00471B81">
        <w:t xml:space="preserve">e “fair” game </w:t>
      </w:r>
      <w:r>
        <w:t>expected win-rates of Black and White should be 50%.</w:t>
      </w:r>
    </w:p>
    <w:p w:rsidR="00C51541" w:rsidRPr="00C51541" w:rsidRDefault="00C51541" w:rsidP="00231767">
      <w:pPr>
        <w:spacing w:before="120" w:after="240" w:line="360" w:lineRule="auto"/>
        <w:jc w:val="both"/>
        <w:rPr>
          <w:b/>
        </w:rPr>
      </w:pPr>
      <w:r w:rsidRPr="00C51541">
        <w:rPr>
          <w:b/>
        </w:rPr>
        <w:t>Gameplay</w:t>
      </w:r>
    </w:p>
    <w:p w:rsidR="00C51541" w:rsidRDefault="00C51541" w:rsidP="00231767">
      <w:pPr>
        <w:spacing w:before="120" w:after="240" w:line="360" w:lineRule="auto"/>
        <w:jc w:val="both"/>
      </w:pPr>
      <w:r>
        <w:t xml:space="preserve">According to conventional Go theory, </w:t>
      </w:r>
      <w:r w:rsidR="001C7889">
        <w:t>it is advantageous to play</w:t>
      </w:r>
      <w:r>
        <w:t xml:space="preserve"> “lightly” and to </w:t>
      </w:r>
      <w:r w:rsidR="001C7889">
        <w:t>have</w:t>
      </w:r>
      <w:r>
        <w:t xml:space="preserve"> </w:t>
      </w:r>
      <w:r w:rsidR="00320223">
        <w:t>“</w:t>
      </w:r>
      <w:r>
        <w:t>initiative</w:t>
      </w:r>
      <w:r w:rsidR="00320223">
        <w:t>”</w:t>
      </w:r>
      <w:r>
        <w:t>. Playing “lightly”</w:t>
      </w:r>
      <w:r w:rsidR="00C56172">
        <w:rPr>
          <w:rStyle w:val="FootnoteReference"/>
        </w:rPr>
        <w:footnoteReference w:id="9"/>
      </w:r>
      <w:r>
        <w:t xml:space="preserve"> is often characterized by playing one move in a certain </w:t>
      </w:r>
      <w:r w:rsidR="00D96D26">
        <w:t>location on</w:t>
      </w:r>
      <w:r>
        <w:t xml:space="preserve"> the board, and then playing the next move in an entirely different </w:t>
      </w:r>
      <w:r w:rsidR="00D96D26">
        <w:t>location</w:t>
      </w:r>
      <w:r>
        <w:t xml:space="preserve">. </w:t>
      </w:r>
      <w:r w:rsidR="001C7889">
        <w:t>Having</w:t>
      </w:r>
      <w:r>
        <w:t xml:space="preserve"> “initiative” means </w:t>
      </w:r>
      <w:r w:rsidR="001C7889">
        <w:t>having control over the</w:t>
      </w:r>
      <w:r w:rsidR="002A454E">
        <w:t xml:space="preserve"> </w:t>
      </w:r>
      <w:r>
        <w:t xml:space="preserve">flow of the game; this is characterized by forcing </w:t>
      </w:r>
      <w:r w:rsidR="00320223">
        <w:t xml:space="preserve">one’s </w:t>
      </w:r>
      <w:r>
        <w:t xml:space="preserve">opponent to </w:t>
      </w:r>
      <w:r w:rsidR="00320223">
        <w:t>play reactively</w:t>
      </w:r>
      <w:r w:rsidR="002A454E">
        <w:t xml:space="preserve">, which means responding close </w:t>
      </w:r>
      <w:r w:rsidR="002A454E">
        <w:lastRenderedPageBreak/>
        <w:t>to the location of the previous move</w:t>
      </w:r>
      <w:r>
        <w:t>.</w:t>
      </w:r>
      <w:r w:rsidR="00320223">
        <w:t xml:space="preserve"> We can group playing “lightly” and having “initiative” as important aspects of “tempo”</w:t>
      </w:r>
      <w:r w:rsidR="002A454E">
        <w:rPr>
          <w:rStyle w:val="FootnoteReference"/>
        </w:rPr>
        <w:footnoteReference w:id="10"/>
      </w:r>
      <w:r w:rsidR="00320223">
        <w:t>.</w:t>
      </w:r>
    </w:p>
    <w:p w:rsidR="00C51541" w:rsidRDefault="00C51541" w:rsidP="00231767">
      <w:pPr>
        <w:spacing w:before="120" w:after="240" w:line="360" w:lineRule="auto"/>
        <w:jc w:val="both"/>
      </w:pPr>
      <w:r>
        <w:t>Intuitively, if a playe</w:t>
      </w:r>
      <w:r w:rsidR="00320223">
        <w:t xml:space="preserve">r </w:t>
      </w:r>
      <w:r w:rsidR="00D96D26">
        <w:t>has good tempo</w:t>
      </w:r>
      <w:r>
        <w:t>, they</w:t>
      </w:r>
      <w:r w:rsidR="00D96D26">
        <w:t xml:space="preserve"> seem to</w:t>
      </w:r>
      <w:r>
        <w:t xml:space="preserve"> have more control over </w:t>
      </w:r>
      <w:r w:rsidR="00D96D26">
        <w:t>the outcome</w:t>
      </w:r>
      <w:r>
        <w:t xml:space="preserve"> of </w:t>
      </w:r>
      <w:r w:rsidR="00D96D26">
        <w:t>the</w:t>
      </w:r>
      <w:r>
        <w:t xml:space="preserve"> game</w:t>
      </w:r>
      <w:r w:rsidR="00320223">
        <w:t xml:space="preserve">. </w:t>
      </w:r>
      <w:r w:rsidR="00D96D26">
        <w:t>Therefore</w:t>
      </w:r>
      <w:r>
        <w:t>, tempo would be expected to correlate positively with win-rates</w:t>
      </w:r>
      <w:r w:rsidR="00D96D26">
        <w:t xml:space="preserve">, after adjusting for confounding factors like </w:t>
      </w:r>
      <w:proofErr w:type="spellStart"/>
      <w:r w:rsidR="00D96D26">
        <w:t>komi</w:t>
      </w:r>
      <w:proofErr w:type="spellEnd"/>
      <w:r>
        <w:t>. By the nature of the game, first-mover Black is expected to have a higher tempo measure than White. Moreover, if we take tempo to be a measure of the relative responsiveness of the two players to each other’s moves, a relatively higher tempo measure in, say, Black, could correspond to a lower tempo measure in White. Lastly,</w:t>
      </w:r>
      <w:r w:rsidR="00320223">
        <w:t xml:space="preserve"> differences in tempo could reflect playstyle differences between professional human players and artificial intelligence.</w:t>
      </w:r>
    </w:p>
    <w:p w:rsidR="00C51541" w:rsidRDefault="00C51541" w:rsidP="00231767">
      <w:pPr>
        <w:pStyle w:val="Heading1"/>
        <w:spacing w:before="120" w:after="240" w:line="360" w:lineRule="auto"/>
        <w:jc w:val="both"/>
      </w:pPr>
      <w:bookmarkStart w:id="10" w:name="_Toc499993208"/>
      <w:r>
        <w:t>4. Methodology</w:t>
      </w:r>
      <w:bookmarkEnd w:id="10"/>
    </w:p>
    <w:p w:rsidR="00C51541" w:rsidRDefault="00C51541" w:rsidP="00231767">
      <w:pPr>
        <w:pStyle w:val="Heading2"/>
        <w:spacing w:before="120" w:after="240" w:line="360" w:lineRule="auto"/>
        <w:jc w:val="both"/>
      </w:pPr>
      <w:bookmarkStart w:id="11" w:name="_Toc499993209"/>
      <w:r>
        <w:t>4.1. Data Collection</w:t>
      </w:r>
      <w:bookmarkEnd w:id="11"/>
    </w:p>
    <w:p w:rsidR="00C51541" w:rsidRPr="005E7982" w:rsidRDefault="00C51541" w:rsidP="00231767">
      <w:pPr>
        <w:spacing w:before="120" w:after="240" w:line="360" w:lineRule="auto"/>
        <w:jc w:val="both"/>
      </w:pPr>
      <w:r>
        <w:t>To allow for a comparison between the three categories of AlphaGo vs. AlphaGo, AlphaGo vs. Professional, and Professional vs. Player (henceforth AG vs. AG, AG vs. Pro, Pro vs. Pro respectively), I collected four datasets from three independent sources. Google DeepMind released 50 self-play games (AG vs. AG) and 60 games played online by AlphaGo against professional players from around the world (AG vs. Pro). The remaining two datasets were scraped from Go game-record databases which are</w:t>
      </w:r>
      <w:r w:rsidR="005E7982">
        <w:t xml:space="preserve"> </w:t>
      </w:r>
      <w:r>
        <w:t xml:space="preserve">well-referenced amongst the online Go community: Go4Go’s top listed games as of October 12th (50 games); </w:t>
      </w:r>
      <w:proofErr w:type="spellStart"/>
      <w:r>
        <w:t>GoKifu’s</w:t>
      </w:r>
      <w:proofErr w:type="spellEnd"/>
      <w:r>
        <w:t xml:space="preserve"> top listed professional-level games between September 30th and October 11th (100 games). These two data sets form the “Pro vs. Pro” category.</w:t>
      </w:r>
      <w:r w:rsidR="005E7982">
        <w:rPr>
          <w:rStyle w:val="FootnoteReference"/>
        </w:rPr>
        <w:footnoteReference w:id="11"/>
      </w:r>
    </w:p>
    <w:p w:rsidR="00C51541" w:rsidRDefault="00C51541" w:rsidP="00231767">
      <w:pPr>
        <w:pStyle w:val="Heading2"/>
        <w:spacing w:before="120" w:after="240" w:line="360" w:lineRule="auto"/>
        <w:jc w:val="both"/>
      </w:pPr>
      <w:bookmarkStart w:id="12" w:name="_Toc499993210"/>
      <w:r>
        <w:t>4.2. Data Handling</w:t>
      </w:r>
      <w:bookmarkEnd w:id="12"/>
    </w:p>
    <w:p w:rsidR="00C51541" w:rsidRDefault="00C51541" w:rsidP="00231767">
      <w:pPr>
        <w:spacing w:before="120" w:after="240" w:line="360" w:lineRule="auto"/>
        <w:jc w:val="both"/>
      </w:pPr>
      <w:r>
        <w:t>All data was processed and analyzed in R using the package “</w:t>
      </w:r>
      <w:proofErr w:type="spellStart"/>
      <w:r>
        <w:t>gogamer</w:t>
      </w:r>
      <w:proofErr w:type="spellEnd"/>
      <w:r>
        <w:t>”. Graphs were created using the package “ggplot2”.</w:t>
      </w:r>
    </w:p>
    <w:p w:rsidR="00C51541" w:rsidRDefault="00C51541" w:rsidP="00231767">
      <w:pPr>
        <w:pStyle w:val="Heading1"/>
        <w:spacing w:before="120" w:after="240" w:line="360" w:lineRule="auto"/>
        <w:jc w:val="both"/>
      </w:pPr>
      <w:bookmarkStart w:id="13" w:name="_Toc499993211"/>
      <w:r>
        <w:lastRenderedPageBreak/>
        <w:t>5. Data and Analysis</w:t>
      </w:r>
      <w:bookmarkEnd w:id="13"/>
    </w:p>
    <w:p w:rsidR="00C51541" w:rsidRDefault="00C51541" w:rsidP="00231767">
      <w:pPr>
        <w:pStyle w:val="Heading2"/>
        <w:spacing w:before="120" w:after="240" w:line="360" w:lineRule="auto"/>
        <w:jc w:val="both"/>
      </w:pPr>
      <w:bookmarkStart w:id="14" w:name="_Toc499993212"/>
      <w:r>
        <w:t>5.1. Win-Rates</w:t>
      </w:r>
      <w:bookmarkEnd w:id="14"/>
    </w:p>
    <w:tbl>
      <w:tblPr>
        <w:tblStyle w:val="GridTable1Light-Accent5"/>
        <w:tblW w:w="0" w:type="auto"/>
        <w:tblLook w:val="04A0" w:firstRow="1" w:lastRow="0" w:firstColumn="1" w:lastColumn="0" w:noHBand="0" w:noVBand="1"/>
      </w:tblPr>
      <w:tblGrid>
        <w:gridCol w:w="1870"/>
        <w:gridCol w:w="1870"/>
        <w:gridCol w:w="1870"/>
        <w:gridCol w:w="1870"/>
        <w:gridCol w:w="1870"/>
      </w:tblGrid>
      <w:tr w:rsidR="003B2860" w:rsidTr="00015B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3B2860" w:rsidRDefault="003B2860" w:rsidP="005442F0">
            <w:pPr>
              <w:spacing w:line="360" w:lineRule="auto"/>
              <w:jc w:val="center"/>
            </w:pPr>
          </w:p>
        </w:tc>
        <w:tc>
          <w:tcPr>
            <w:tcW w:w="3740" w:type="dxa"/>
            <w:gridSpan w:val="2"/>
          </w:tcPr>
          <w:p w:rsidR="003B2860" w:rsidRDefault="003B2860" w:rsidP="005442F0">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Number of Wins</w:t>
            </w:r>
          </w:p>
        </w:tc>
        <w:tc>
          <w:tcPr>
            <w:tcW w:w="3740" w:type="dxa"/>
            <w:gridSpan w:val="2"/>
          </w:tcPr>
          <w:p w:rsidR="003B2860" w:rsidRDefault="003B2860" w:rsidP="005442F0">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Win-Rates</w:t>
            </w:r>
          </w:p>
        </w:tc>
      </w:tr>
      <w:tr w:rsidR="00CD1D62" w:rsidTr="00CD1D62">
        <w:tc>
          <w:tcPr>
            <w:cnfStyle w:val="001000000000" w:firstRow="0" w:lastRow="0" w:firstColumn="1" w:lastColumn="0" w:oddVBand="0" w:evenVBand="0" w:oddHBand="0" w:evenHBand="0" w:firstRowFirstColumn="0" w:firstRowLastColumn="0" w:lastRowFirstColumn="0" w:lastRowLastColumn="0"/>
            <w:tcW w:w="1870" w:type="dxa"/>
          </w:tcPr>
          <w:p w:rsidR="00CD1D62" w:rsidRDefault="00CD1D62" w:rsidP="005442F0">
            <w:pPr>
              <w:spacing w:line="360" w:lineRule="auto"/>
              <w:jc w:val="center"/>
            </w:pPr>
          </w:p>
        </w:tc>
        <w:tc>
          <w:tcPr>
            <w:tcW w:w="1870" w:type="dxa"/>
          </w:tcPr>
          <w:p w:rsidR="00CD1D62" w:rsidRDefault="003B2860" w:rsidP="005442F0">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Black</w:t>
            </w:r>
          </w:p>
        </w:tc>
        <w:tc>
          <w:tcPr>
            <w:tcW w:w="1870" w:type="dxa"/>
          </w:tcPr>
          <w:p w:rsidR="00CD1D62" w:rsidRDefault="003B2860" w:rsidP="005442F0">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White</w:t>
            </w:r>
          </w:p>
        </w:tc>
        <w:tc>
          <w:tcPr>
            <w:tcW w:w="1870" w:type="dxa"/>
          </w:tcPr>
          <w:p w:rsidR="00CD1D62" w:rsidRDefault="003B2860" w:rsidP="005442F0">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Black</w:t>
            </w:r>
          </w:p>
        </w:tc>
        <w:tc>
          <w:tcPr>
            <w:tcW w:w="1870" w:type="dxa"/>
          </w:tcPr>
          <w:p w:rsidR="00CD1D62" w:rsidRDefault="003B2860" w:rsidP="005442F0">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White</w:t>
            </w:r>
          </w:p>
        </w:tc>
      </w:tr>
      <w:tr w:rsidR="00CD1D62" w:rsidTr="00CD1D62">
        <w:tc>
          <w:tcPr>
            <w:cnfStyle w:val="001000000000" w:firstRow="0" w:lastRow="0" w:firstColumn="1" w:lastColumn="0" w:oddVBand="0" w:evenVBand="0" w:oddHBand="0" w:evenHBand="0" w:firstRowFirstColumn="0" w:firstRowLastColumn="0" w:lastRowFirstColumn="0" w:lastRowLastColumn="0"/>
            <w:tcW w:w="1870" w:type="dxa"/>
          </w:tcPr>
          <w:p w:rsidR="00CD1D62" w:rsidRDefault="00CD1D62" w:rsidP="005442F0">
            <w:pPr>
              <w:spacing w:line="360" w:lineRule="auto"/>
              <w:jc w:val="center"/>
              <w:rPr>
                <w:rFonts w:ascii="Calibri" w:hAnsi="Calibri" w:cs="Calibri"/>
                <w:color w:val="000000"/>
              </w:rPr>
            </w:pPr>
            <w:r>
              <w:rPr>
                <w:rFonts w:ascii="Calibri" w:hAnsi="Calibri" w:cs="Calibri"/>
                <w:color w:val="000000"/>
              </w:rPr>
              <w:t>AG vs. AG</w:t>
            </w:r>
          </w:p>
        </w:tc>
        <w:tc>
          <w:tcPr>
            <w:tcW w:w="1870" w:type="dxa"/>
          </w:tcPr>
          <w:p w:rsidR="00CD1D62" w:rsidRDefault="00CD1D62" w:rsidP="005442F0">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w:t>
            </w:r>
          </w:p>
        </w:tc>
        <w:tc>
          <w:tcPr>
            <w:tcW w:w="1870" w:type="dxa"/>
          </w:tcPr>
          <w:p w:rsidR="00CD1D62" w:rsidRDefault="00CD1D62" w:rsidP="005442F0">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38</w:t>
            </w:r>
          </w:p>
        </w:tc>
        <w:tc>
          <w:tcPr>
            <w:tcW w:w="1870" w:type="dxa"/>
          </w:tcPr>
          <w:p w:rsidR="00CD1D62" w:rsidRDefault="00CD1D62" w:rsidP="005442F0">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w:t>
            </w:r>
            <w:r w:rsidR="00656DF5">
              <w:rPr>
                <w:rFonts w:ascii="Calibri" w:hAnsi="Calibri" w:cs="Calibri"/>
                <w:color w:val="000000"/>
              </w:rPr>
              <w:t>.0</w:t>
            </w:r>
            <w:r>
              <w:rPr>
                <w:rFonts w:ascii="Calibri" w:hAnsi="Calibri" w:cs="Calibri"/>
                <w:color w:val="000000"/>
              </w:rPr>
              <w:t>%</w:t>
            </w:r>
          </w:p>
        </w:tc>
        <w:tc>
          <w:tcPr>
            <w:tcW w:w="1870" w:type="dxa"/>
          </w:tcPr>
          <w:p w:rsidR="00CD1D62" w:rsidRDefault="00CD1D62" w:rsidP="005442F0">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76</w:t>
            </w:r>
            <w:r w:rsidR="00656DF5">
              <w:rPr>
                <w:rFonts w:ascii="Calibri" w:hAnsi="Calibri" w:cs="Calibri"/>
                <w:color w:val="000000"/>
              </w:rPr>
              <w:t>.0</w:t>
            </w:r>
            <w:r>
              <w:rPr>
                <w:rFonts w:ascii="Calibri" w:hAnsi="Calibri" w:cs="Calibri"/>
                <w:color w:val="000000"/>
              </w:rPr>
              <w:t>%</w:t>
            </w:r>
          </w:p>
        </w:tc>
      </w:tr>
      <w:tr w:rsidR="00CD1D62" w:rsidTr="00CD1D62">
        <w:tc>
          <w:tcPr>
            <w:cnfStyle w:val="001000000000" w:firstRow="0" w:lastRow="0" w:firstColumn="1" w:lastColumn="0" w:oddVBand="0" w:evenVBand="0" w:oddHBand="0" w:evenHBand="0" w:firstRowFirstColumn="0" w:firstRowLastColumn="0" w:lastRowFirstColumn="0" w:lastRowLastColumn="0"/>
            <w:tcW w:w="1870" w:type="dxa"/>
          </w:tcPr>
          <w:p w:rsidR="00CD1D62" w:rsidRDefault="00CD1D62" w:rsidP="005442F0">
            <w:pPr>
              <w:spacing w:line="360" w:lineRule="auto"/>
              <w:jc w:val="center"/>
              <w:rPr>
                <w:rFonts w:ascii="Calibri" w:hAnsi="Calibri" w:cs="Calibri"/>
                <w:color w:val="000000"/>
              </w:rPr>
            </w:pPr>
            <w:r>
              <w:rPr>
                <w:rFonts w:ascii="Calibri" w:hAnsi="Calibri" w:cs="Calibri"/>
                <w:color w:val="000000"/>
              </w:rPr>
              <w:t>AG vs. Pro</w:t>
            </w:r>
            <w:r w:rsidR="005442F0">
              <w:rPr>
                <w:rStyle w:val="FootnoteReference"/>
                <w:rFonts w:ascii="Calibri" w:hAnsi="Calibri" w:cs="Calibri"/>
                <w:color w:val="000000"/>
              </w:rPr>
              <w:footnoteReference w:id="12"/>
            </w:r>
          </w:p>
        </w:tc>
        <w:tc>
          <w:tcPr>
            <w:tcW w:w="1870" w:type="dxa"/>
          </w:tcPr>
          <w:p w:rsidR="00CD1D62" w:rsidRDefault="00CD1D62" w:rsidP="005442F0">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w:t>
            </w:r>
          </w:p>
        </w:tc>
        <w:tc>
          <w:tcPr>
            <w:tcW w:w="1870" w:type="dxa"/>
          </w:tcPr>
          <w:p w:rsidR="00CD1D62" w:rsidRDefault="00CD1D62" w:rsidP="005442F0">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w:t>
            </w:r>
          </w:p>
        </w:tc>
        <w:tc>
          <w:tcPr>
            <w:tcW w:w="1870" w:type="dxa"/>
          </w:tcPr>
          <w:p w:rsidR="00CD1D62" w:rsidRDefault="00CD1D62" w:rsidP="005442F0">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48</w:t>
            </w:r>
            <w:r w:rsidR="00656DF5">
              <w:rPr>
                <w:rFonts w:ascii="Calibri" w:hAnsi="Calibri" w:cs="Calibri"/>
                <w:color w:val="000000"/>
              </w:rPr>
              <w:t>.0</w:t>
            </w:r>
            <w:r>
              <w:rPr>
                <w:rFonts w:ascii="Calibri" w:hAnsi="Calibri" w:cs="Calibri"/>
                <w:color w:val="000000"/>
              </w:rPr>
              <w:t>%</w:t>
            </w:r>
          </w:p>
        </w:tc>
        <w:tc>
          <w:tcPr>
            <w:tcW w:w="1870" w:type="dxa"/>
          </w:tcPr>
          <w:p w:rsidR="00CD1D62" w:rsidRDefault="00CD1D62" w:rsidP="005442F0">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52</w:t>
            </w:r>
            <w:r w:rsidR="00656DF5">
              <w:rPr>
                <w:rFonts w:ascii="Calibri" w:hAnsi="Calibri" w:cs="Calibri"/>
                <w:color w:val="000000"/>
              </w:rPr>
              <w:t>.0</w:t>
            </w:r>
            <w:r>
              <w:rPr>
                <w:rFonts w:ascii="Calibri" w:hAnsi="Calibri" w:cs="Calibri"/>
                <w:color w:val="000000"/>
              </w:rPr>
              <w:t>%</w:t>
            </w:r>
          </w:p>
        </w:tc>
      </w:tr>
      <w:tr w:rsidR="00CD1D62" w:rsidTr="00CD1D62">
        <w:tc>
          <w:tcPr>
            <w:cnfStyle w:val="001000000000" w:firstRow="0" w:lastRow="0" w:firstColumn="1" w:lastColumn="0" w:oddVBand="0" w:evenVBand="0" w:oddHBand="0" w:evenHBand="0" w:firstRowFirstColumn="0" w:firstRowLastColumn="0" w:lastRowFirstColumn="0" w:lastRowLastColumn="0"/>
            <w:tcW w:w="1870" w:type="dxa"/>
          </w:tcPr>
          <w:p w:rsidR="00CD1D62" w:rsidRDefault="00CD1D62" w:rsidP="005442F0">
            <w:pPr>
              <w:spacing w:line="360" w:lineRule="auto"/>
              <w:jc w:val="center"/>
              <w:rPr>
                <w:rFonts w:ascii="Calibri" w:hAnsi="Calibri" w:cs="Calibri"/>
                <w:color w:val="000000"/>
              </w:rPr>
            </w:pPr>
            <w:r>
              <w:rPr>
                <w:rFonts w:ascii="Calibri" w:hAnsi="Calibri" w:cs="Calibri"/>
                <w:color w:val="000000"/>
              </w:rPr>
              <w:t>Pro vs. Pro</w:t>
            </w:r>
          </w:p>
        </w:tc>
        <w:tc>
          <w:tcPr>
            <w:tcW w:w="1870" w:type="dxa"/>
          </w:tcPr>
          <w:p w:rsidR="00CD1D62" w:rsidRDefault="00CD1D62" w:rsidP="005442F0">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76</w:t>
            </w:r>
          </w:p>
        </w:tc>
        <w:tc>
          <w:tcPr>
            <w:tcW w:w="1870" w:type="dxa"/>
          </w:tcPr>
          <w:p w:rsidR="00CD1D62" w:rsidRDefault="00CD1D62" w:rsidP="005442F0">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74</w:t>
            </w:r>
          </w:p>
        </w:tc>
        <w:tc>
          <w:tcPr>
            <w:tcW w:w="1870" w:type="dxa"/>
          </w:tcPr>
          <w:p w:rsidR="00CD1D62" w:rsidRDefault="00CD1D62" w:rsidP="005442F0">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r w:rsidR="000A03BC">
              <w:rPr>
                <w:rFonts w:ascii="Calibri" w:hAnsi="Calibri" w:cs="Calibri"/>
                <w:color w:val="000000"/>
              </w:rPr>
              <w:t>0</w:t>
            </w:r>
            <w:r w:rsidR="00656DF5">
              <w:rPr>
                <w:rFonts w:ascii="Calibri" w:hAnsi="Calibri" w:cs="Calibri"/>
                <w:color w:val="000000"/>
              </w:rPr>
              <w:t>.7</w:t>
            </w:r>
            <w:r>
              <w:rPr>
                <w:rFonts w:ascii="Calibri" w:hAnsi="Calibri" w:cs="Calibri"/>
                <w:color w:val="000000"/>
              </w:rPr>
              <w:t>%</w:t>
            </w:r>
          </w:p>
        </w:tc>
        <w:tc>
          <w:tcPr>
            <w:tcW w:w="1870" w:type="dxa"/>
          </w:tcPr>
          <w:p w:rsidR="00CD1D62" w:rsidRDefault="00CD1D62" w:rsidP="005442F0">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49</w:t>
            </w:r>
            <w:r w:rsidR="00656DF5">
              <w:rPr>
                <w:rFonts w:ascii="Calibri" w:hAnsi="Calibri" w:cs="Calibri"/>
                <w:color w:val="000000"/>
              </w:rPr>
              <w:t>.3</w:t>
            </w:r>
            <w:r>
              <w:rPr>
                <w:rFonts w:ascii="Calibri" w:hAnsi="Calibri" w:cs="Calibri"/>
                <w:color w:val="000000"/>
              </w:rPr>
              <w:t>%</w:t>
            </w:r>
          </w:p>
        </w:tc>
      </w:tr>
    </w:tbl>
    <w:p w:rsidR="00115689" w:rsidRDefault="00115689" w:rsidP="00231767">
      <w:pPr>
        <w:spacing w:before="120" w:after="240" w:line="360" w:lineRule="auto"/>
        <w:jc w:val="both"/>
      </w:pPr>
    </w:p>
    <w:p w:rsidR="00EC18D4" w:rsidRDefault="00F451BD" w:rsidP="00231767">
      <w:pPr>
        <w:spacing w:before="120" w:after="240" w:line="360" w:lineRule="auto"/>
        <w:jc w:val="both"/>
      </w:pPr>
      <w:r>
        <w:t>Interestingly,</w:t>
      </w:r>
      <w:r w:rsidR="00F36804">
        <w:t xml:space="preserve"> in the category AG vs. AG, White wins a large majority of games</w:t>
      </w:r>
      <w:r w:rsidR="005E7982">
        <w:t>. O</w:t>
      </w:r>
      <w:r w:rsidR="00F36804">
        <w:t>n the other hand, in the categories AG vs. Pro, Pro vs. Pro, the win-rates of Black and White appear more balanced – closer to our expected “fair” win-rates of 50%</w:t>
      </w:r>
      <w:r w:rsidR="00C56172">
        <w:rPr>
          <w:rStyle w:val="FootnoteReference"/>
        </w:rPr>
        <w:footnoteReference w:id="13"/>
      </w:r>
      <w:r w:rsidR="00F36804">
        <w:t>.</w:t>
      </w:r>
      <w:r w:rsidR="00EC18D4">
        <w:t xml:space="preserve"> </w:t>
      </w:r>
      <w:r w:rsidR="00F36804">
        <w:t>Hypothesis testing can be used to check whether these win-rate results are due to chance.</w:t>
      </w:r>
    </w:p>
    <w:p w:rsidR="00553AED" w:rsidRDefault="00EC18D4" w:rsidP="00231767">
      <w:pPr>
        <w:spacing w:before="120" w:after="240" w:line="360" w:lineRule="auto"/>
        <w:jc w:val="both"/>
      </w:pPr>
      <w:r>
        <w:t>Firstly, f</w:t>
      </w:r>
      <w:r w:rsidR="00F36804">
        <w:t xml:space="preserve">or AG vs. AG, </w:t>
      </w:r>
      <w:r w:rsidR="00EC55F3">
        <w:t>we take</w:t>
      </w:r>
      <w:r w:rsidR="00F36804">
        <w:t xml:space="preserve"> an expected </w:t>
      </w:r>
      <w:r w:rsidR="00015BA7">
        <w:t>value</w:t>
      </w:r>
      <w:r w:rsidR="00EC55F3">
        <w:t xml:space="preserve"> </w:t>
      </w:r>
      <w:r w:rsidR="00F36804">
        <w:t xml:space="preserve">(EV) of </w:t>
      </w:r>
      <w:r w:rsidR="00EC55F3">
        <w:t xml:space="preserve">0.50 for a “fair” game, and a corresponding </w:t>
      </w:r>
      <w:r w:rsidR="00F36804">
        <w:t>standard deviation (SD) of</w:t>
      </w:r>
      <w:r w:rsidR="00DD0CF7">
        <w:t xml:space="preserve"> 0.</w:t>
      </w:r>
      <w:r w:rsidR="00553AED">
        <w:t>50. Given a known population SD, it is possible to derive standard error (SE) and apply</w:t>
      </w:r>
      <w:r w:rsidR="00E900E0">
        <w:t xml:space="preserve"> a two-tailed</w:t>
      </w:r>
      <w:r w:rsidR="00553AED">
        <w:t xml:space="preserve"> z-test to the data – </w:t>
      </w:r>
      <w:r w:rsidR="00E900E0">
        <w:t>in this case</w:t>
      </w:r>
      <w:r w:rsidR="00553AED">
        <w:t xml:space="preserve">, we </w:t>
      </w:r>
      <w:r w:rsidR="00E900E0">
        <w:t xml:space="preserve">test </w:t>
      </w:r>
      <w:r w:rsidR="00553AED">
        <w:t>the observed win-rate for White.</w:t>
      </w:r>
    </w:p>
    <w:p w:rsidR="00553AED" w:rsidRPr="00187669" w:rsidRDefault="00553AED" w:rsidP="00231767">
      <w:pPr>
        <w:spacing w:before="120" w:after="240" w:line="360" w:lineRule="auto"/>
        <w:ind w:left="720"/>
        <w:jc w:val="both"/>
        <w:rPr>
          <w:i/>
        </w:rPr>
      </w:pPr>
      <w:r w:rsidRPr="00187669">
        <w:rPr>
          <w:i/>
        </w:rPr>
        <w:t>Consider the null hypothesis to be having a “fair” game set-up (i.e. the observed win-rate for White can be explained by chance):</w:t>
      </w:r>
    </w:p>
    <w:bookmarkStart w:id="15" w:name="_Hlk499729471"/>
    <w:p w:rsidR="00553AED" w:rsidRPr="00187669" w:rsidRDefault="00077422" w:rsidP="00231767">
      <w:pPr>
        <w:spacing w:before="120" w:after="240" w:line="360" w:lineRule="auto"/>
        <w:ind w:left="720"/>
        <w:jc w:val="both"/>
        <w:rPr>
          <w:i/>
        </w:rPr>
      </w:pPr>
      <m:oMathPara>
        <m:oMath>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:µ=0.5</m:t>
          </m:r>
        </m:oMath>
      </m:oMathPara>
    </w:p>
    <w:bookmarkEnd w:id="15"/>
    <w:p w:rsidR="00E62F17" w:rsidRPr="00187669" w:rsidRDefault="00E900E0" w:rsidP="00231767">
      <w:pPr>
        <w:spacing w:before="120" w:after="240" w:line="360" w:lineRule="auto"/>
        <w:ind w:left="720"/>
        <w:jc w:val="both"/>
        <w:rPr>
          <w:i/>
        </w:rPr>
      </w:pPr>
      <w:r w:rsidRPr="00187669">
        <w:rPr>
          <w:i/>
        </w:rPr>
        <w:t>The alternative hypothesis claims that the game is “unfair”:</w:t>
      </w:r>
    </w:p>
    <w:p w:rsidR="00553AED" w:rsidRPr="00E62F17" w:rsidRDefault="00077422" w:rsidP="00231767">
      <w:pPr>
        <w:spacing w:before="120" w:after="240" w:line="360" w:lineRule="auto"/>
        <w:ind w:left="720"/>
        <w:jc w:val="both"/>
        <w:rPr>
          <w:i/>
        </w:rPr>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:µ≠0.5</m:t>
          </m:r>
        </m:oMath>
      </m:oMathPara>
    </w:p>
    <w:p w:rsidR="00E62F17" w:rsidRPr="00187669" w:rsidRDefault="00E62F17" w:rsidP="00231767">
      <w:pPr>
        <w:spacing w:before="120" w:after="240" w:line="360" w:lineRule="auto"/>
        <w:ind w:left="720"/>
        <w:jc w:val="both"/>
        <w:rPr>
          <w:i/>
        </w:rPr>
      </w:pPr>
      <w:r>
        <w:rPr>
          <w:i/>
        </w:rPr>
        <w:t>Find the average SE over 50 games, the z-test statistic, and then take the corresponding p-value:</w:t>
      </w:r>
    </w:p>
    <w:p w:rsidR="00553AED" w:rsidRPr="00187669" w:rsidRDefault="00077422" w:rsidP="00231767">
      <w:pPr>
        <w:spacing w:before="120" w:after="240" w:line="360" w:lineRule="auto"/>
        <w:ind w:left="720"/>
        <w:jc w:val="both"/>
        <w:rPr>
          <w:i/>
        </w:rPr>
      </w:pPr>
      <m:oMathPara>
        <m:oMath>
          <m:sSub>
            <m:sSubPr>
              <m:ctrlPr>
                <w:rPr>
                  <w:rFonts w:ascii="Cambria Math" w:hAnsi="Cambria Math"/>
                  <w:i/>
                </w:rPr>
              </m:ctrlPr>
            </m:sSubPr>
            <m:e>
              <m:r>
                <w:rPr>
                  <w:rFonts w:ascii="Cambria Math" w:hAnsi="Cambria Math"/>
                </w:rPr>
                <m:t>SE</m:t>
              </m:r>
            </m:e>
            <m:sub>
              <m:r>
                <w:rPr>
                  <w:rFonts w:ascii="Cambria Math" w:hAnsi="Cambria Math"/>
                </w:rPr>
                <m:t>avg</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50</m:t>
                  </m:r>
                </m:e>
              </m:rad>
              <m:r>
                <w:rPr>
                  <w:rFonts w:ascii="Cambria Math" w:hAnsi="Cambria Math"/>
                </w:rPr>
                <m:t>*</m:t>
              </m:r>
              <m:rad>
                <m:radPr>
                  <m:degHide m:val="1"/>
                  <m:ctrlPr>
                    <w:rPr>
                      <w:rFonts w:ascii="Cambria Math" w:hAnsi="Cambria Math"/>
                      <w:i/>
                    </w:rPr>
                  </m:ctrlPr>
                </m:radPr>
                <m:deg/>
                <m:e>
                  <m:r>
                    <w:rPr>
                      <w:rFonts w:ascii="Cambria Math" w:hAnsi="Cambria Math"/>
                    </w:rPr>
                    <m:t>0.5*0.5</m:t>
                  </m:r>
                </m:e>
              </m:rad>
            </m:num>
            <m:den>
              <m:r>
                <w:rPr>
                  <w:rFonts w:ascii="Cambria Math" w:hAnsi="Cambria Math"/>
                </w:rPr>
                <m:t>50</m:t>
              </m:r>
            </m:den>
          </m:f>
          <m:r>
            <w:rPr>
              <w:rFonts w:ascii="Cambria Math" w:hAnsi="Cambria Math"/>
            </w:rPr>
            <m:t>=0.070711…</m:t>
          </m:r>
        </m:oMath>
      </m:oMathPara>
    </w:p>
    <w:p w:rsidR="00E900E0" w:rsidRPr="00187669" w:rsidRDefault="00187669" w:rsidP="00231767">
      <w:pPr>
        <w:spacing w:before="120" w:after="240" w:line="360" w:lineRule="auto"/>
        <w:ind w:left="720"/>
        <w:jc w:val="both"/>
        <w:rPr>
          <w:i/>
        </w:rPr>
      </w:pPr>
      <m:oMathPara>
        <m:oMath>
          <m:r>
            <w:rPr>
              <w:rFonts w:ascii="Cambria Math" w:hAnsi="Cambria Math"/>
            </w:rPr>
            <m:t>z=</m:t>
          </m:r>
          <m:f>
            <m:fPr>
              <m:ctrlPr>
                <w:rPr>
                  <w:rFonts w:ascii="Cambria Math" w:hAnsi="Cambria Math"/>
                  <w:i/>
                </w:rPr>
              </m:ctrlPr>
            </m:fPr>
            <m:num>
              <m:r>
                <w:rPr>
                  <w:rFonts w:ascii="Cambria Math" w:hAnsi="Cambria Math"/>
                </w:rPr>
                <m:t>0.76-0.50</m:t>
              </m:r>
            </m:num>
            <m:den>
              <m:r>
                <w:rPr>
                  <w:rFonts w:ascii="Cambria Math" w:hAnsi="Cambria Math"/>
                </w:rPr>
                <m:t>0.070711</m:t>
              </m:r>
            </m:den>
          </m:f>
          <m:r>
            <w:rPr>
              <w:rFonts w:ascii="Cambria Math" w:hAnsi="Cambria Math" w:cstheme="minorHAnsi"/>
            </w:rPr>
            <m:t>≈</m:t>
          </m:r>
          <m:r>
            <w:rPr>
              <w:rFonts w:ascii="Cambria Math" w:hAnsi="Cambria Math"/>
            </w:rPr>
            <m:t>3.67696</m:t>
          </m:r>
        </m:oMath>
      </m:oMathPara>
    </w:p>
    <w:p w:rsidR="00187669" w:rsidRDefault="00E62F17" w:rsidP="00231767">
      <w:pPr>
        <w:spacing w:before="120" w:after="240" w:line="360" w:lineRule="auto"/>
        <w:ind w:left="720"/>
        <w:jc w:val="both"/>
        <w:rPr>
          <w:rFonts w:cstheme="minorHAnsi"/>
          <w:i/>
        </w:rPr>
      </w:pPr>
      <m:oMathPara>
        <m:oMath>
          <m:r>
            <w:rPr>
              <w:rFonts w:ascii="Cambria Math" w:hAnsi="Cambria Math"/>
            </w:rPr>
            <m:t>p</m:t>
          </m:r>
          <m:r>
            <w:rPr>
              <w:rFonts w:ascii="Cambria Math" w:hAnsi="Cambria Math" w:cstheme="minorHAnsi"/>
            </w:rPr>
            <m:t>≈0.000236&lt;0.01</m:t>
          </m:r>
        </m:oMath>
      </m:oMathPara>
    </w:p>
    <w:p w:rsidR="00E62F17" w:rsidRPr="00187669" w:rsidRDefault="00E62F17" w:rsidP="00231767">
      <w:pPr>
        <w:spacing w:before="120" w:after="240" w:line="360" w:lineRule="auto"/>
        <w:ind w:left="720"/>
        <w:jc w:val="both"/>
        <w:rPr>
          <w:i/>
        </w:rPr>
      </w:pPr>
      <w:r>
        <w:rPr>
          <w:i/>
        </w:rPr>
        <w:t>To conclude, the null hypothesis can be rejected at the 1% level of significance. Results are not due to chance</w:t>
      </w:r>
      <w:r w:rsidR="00731923">
        <w:rPr>
          <w:i/>
        </w:rPr>
        <w:t>;</w:t>
      </w:r>
      <w:r>
        <w:rPr>
          <w:i/>
        </w:rPr>
        <w:t xml:space="preserve"> Go in a AG vs. AG </w:t>
      </w:r>
      <w:r w:rsidR="00731923">
        <w:rPr>
          <w:i/>
        </w:rPr>
        <w:t>situatio</w:t>
      </w:r>
      <w:r w:rsidR="0094634C">
        <w:rPr>
          <w:i/>
        </w:rPr>
        <w:t>n is “unfair”</w:t>
      </w:r>
      <w:r w:rsidR="00731923">
        <w:rPr>
          <w:i/>
        </w:rPr>
        <w:t>.</w:t>
      </w:r>
    </w:p>
    <w:p w:rsidR="00F36804" w:rsidRDefault="0094634C" w:rsidP="00231767">
      <w:pPr>
        <w:spacing w:before="120" w:after="240" w:line="360" w:lineRule="auto"/>
        <w:jc w:val="both"/>
      </w:pPr>
      <w:r>
        <w:t>A</w:t>
      </w:r>
      <w:r w:rsidR="00E62F17">
        <w:t xml:space="preserve"> one-tailed </w:t>
      </w:r>
      <w:r>
        <w:t>z-</w:t>
      </w:r>
      <w:r w:rsidR="00E62F17">
        <w:t>test</w:t>
      </w:r>
      <w:r>
        <w:t xml:space="preserve"> for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:µ&gt;0.5</m:t>
        </m:r>
      </m:oMath>
      <w:r>
        <w:t xml:space="preserve"> </w:t>
      </w:r>
      <w:r w:rsidR="00E62F17">
        <w:t>result</w:t>
      </w:r>
      <w:r>
        <w:t>s</w:t>
      </w:r>
      <w:r w:rsidR="00E62F17">
        <w:t xml:space="preserve"> in </w:t>
      </w:r>
      <m:oMath>
        <m:r>
          <w:rPr>
            <w:rFonts w:ascii="Cambria Math" w:hAnsi="Cambria Math"/>
          </w:rPr>
          <m:t>p</m:t>
        </m:r>
        <m:r>
          <w:rPr>
            <w:rFonts w:ascii="Cambria Math" w:hAnsi="Cambria Math" w:cstheme="minorHAnsi"/>
          </w:rPr>
          <m:t>≈0.000118</m:t>
        </m:r>
      </m:oMath>
      <w:r>
        <w:t xml:space="preserve"> – we can almost certainly say that for AG vs. AG, there is an advantage to White, the second-move player.</w:t>
      </w:r>
    </w:p>
    <w:p w:rsidR="000A03BC" w:rsidRDefault="00EC18D4" w:rsidP="00231767">
      <w:pPr>
        <w:spacing w:before="120" w:after="240" w:line="360" w:lineRule="auto"/>
        <w:jc w:val="both"/>
      </w:pPr>
      <w:r>
        <w:t>Secondly, we consider</w:t>
      </w:r>
      <w:r w:rsidR="00DB527F">
        <w:t xml:space="preserve"> the category AG vs. Pro</w:t>
      </w:r>
      <w:r>
        <w:t>, which</w:t>
      </w:r>
      <w:r w:rsidR="004F709F">
        <w:t xml:space="preserve"> seems to better fit our expectations; however, there is a vital confounding factor in the data.</w:t>
      </w:r>
      <w:r w:rsidR="00325EB9">
        <w:t xml:space="preserve"> </w:t>
      </w:r>
      <w:r w:rsidR="00683281">
        <w:t xml:space="preserve">In the </w:t>
      </w:r>
      <w:r w:rsidR="00EF6D9A">
        <w:t xml:space="preserve">limited pool of 60 games </w:t>
      </w:r>
      <w:r w:rsidR="00683281">
        <w:t xml:space="preserve">released by DeepMind, AlphaGo recorded a </w:t>
      </w:r>
      <w:r w:rsidR="00C71E3D">
        <w:t>100% win-rate</w:t>
      </w:r>
      <w:r w:rsidR="00683281">
        <w:t xml:space="preserve"> against </w:t>
      </w:r>
      <w:r w:rsidR="00EF6D9A">
        <w:t>online professionals.</w:t>
      </w:r>
      <w:r w:rsidR="00BF1E94">
        <w:t xml:space="preserve"> Therefore, win-loss records can reasonably be attributed to differences in player skill, rather than differences in playing as Black or White. AlphaGo’s </w:t>
      </w:r>
      <w:r w:rsidR="00C71E3D">
        <w:t>almost perfectly-</w:t>
      </w:r>
      <w:r w:rsidR="00BF1E94">
        <w:t>even split between playing as either color further supports this assumption.</w:t>
      </w:r>
    </w:p>
    <w:p w:rsidR="000A03BC" w:rsidRDefault="00BF1E94" w:rsidP="00231767">
      <w:pPr>
        <w:spacing w:before="120" w:after="240" w:line="360" w:lineRule="auto"/>
        <w:jc w:val="both"/>
      </w:pPr>
      <w:r>
        <w:t>Lastly,</w:t>
      </w:r>
      <w:r w:rsidR="003153F5">
        <w:t xml:space="preserve"> we conduct a two</w:t>
      </w:r>
      <w:r w:rsidR="00D2204D">
        <w:t>-</w:t>
      </w:r>
      <w:r w:rsidR="003153F5">
        <w:t xml:space="preserve">tailed hypothesis test on the win-rate </w:t>
      </w:r>
      <w:r w:rsidR="000A03BC">
        <w:t>of White for</w:t>
      </w:r>
      <w:r w:rsidR="003153F5">
        <w:t xml:space="preserve"> Pro vs. Pro. </w:t>
      </w:r>
      <w:r w:rsidR="000A03BC">
        <w:t>Using the</w:t>
      </w:r>
      <w:r w:rsidR="003153F5">
        <w:t xml:space="preserve"> null hypothesis </w:t>
      </w:r>
      <m:oMath>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:µ=0.5</m:t>
        </m:r>
      </m:oMath>
      <w:r w:rsidR="000A03BC">
        <w:t xml:space="preserve">, the alternative hypothesis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:µ≠0.5</m:t>
        </m:r>
      </m:oMath>
      <w:r w:rsidR="000A03BC">
        <w:t xml:space="preserve">, and an observed value of </w:t>
      </w:r>
      <m:oMath>
        <m:r>
          <w:rPr>
            <w:rFonts w:ascii="Cambria Math" w:hAnsi="Cambria Math"/>
          </w:rPr>
          <m:t>µ=0.493</m:t>
        </m:r>
      </m:oMath>
      <w:r w:rsidR="000A03BC">
        <w:t xml:space="preserve">, </w:t>
      </w:r>
      <w:r w:rsidR="00BE5766">
        <w:t xml:space="preserve">the z-test outputs a test statistic of </w:t>
      </w:r>
      <m:oMath>
        <m:r>
          <w:rPr>
            <w:rFonts w:ascii="Cambria Math" w:hAnsi="Cambria Math"/>
          </w:rPr>
          <m:t>z</m:t>
        </m:r>
        <m:r>
          <w:rPr>
            <w:rFonts w:ascii="Cambria Math" w:hAnsi="Cambria Math" w:cstheme="minorHAnsi"/>
          </w:rPr>
          <m:t>≈</m:t>
        </m:r>
        <m:r>
          <w:rPr>
            <w:rFonts w:ascii="Cambria Math" w:hAnsi="Cambria Math"/>
          </w:rPr>
          <m:t>-0.171464</m:t>
        </m:r>
      </m:oMath>
      <w:r w:rsidR="00BE5766">
        <w:t xml:space="preserve">, and </w:t>
      </w:r>
      <m:oMath>
        <m:r>
          <w:rPr>
            <w:rFonts w:ascii="Cambria Math" w:hAnsi="Cambria Math"/>
          </w:rPr>
          <m:t>p</m:t>
        </m:r>
        <m:r>
          <w:rPr>
            <w:rFonts w:ascii="Cambria Math" w:hAnsi="Cambria Math" w:cstheme="minorHAnsi"/>
          </w:rPr>
          <m:t>≈0.863859&gt;0.05</m:t>
        </m:r>
      </m:oMath>
      <w:r w:rsidR="00BE5766">
        <w:t xml:space="preserve">. From these results, we cannot reject the null hypothesis; </w:t>
      </w:r>
      <w:r w:rsidR="00A629EC">
        <w:t xml:space="preserve">there is </w:t>
      </w:r>
      <w:r w:rsidR="007F6E96">
        <w:t>a good</w:t>
      </w:r>
      <w:r w:rsidR="00BE5766">
        <w:t xml:space="preserve"> chance that Go is a “fair” game.</w:t>
      </w:r>
    </w:p>
    <w:p w:rsidR="006E26E9" w:rsidRDefault="006E26E9" w:rsidP="00231767">
      <w:pPr>
        <w:spacing w:before="120" w:after="240" w:line="360" w:lineRule="auto"/>
        <w:jc w:val="both"/>
      </w:pPr>
      <w:r>
        <w:t xml:space="preserve">Overall, </w:t>
      </w:r>
      <w:r w:rsidR="007F6E96">
        <w:t xml:space="preserve">two important </w:t>
      </w:r>
      <w:r w:rsidR="00471B81">
        <w:t>ideas</w:t>
      </w:r>
      <w:r w:rsidR="007F6E96">
        <w:t xml:space="preserve"> can be drawn from the results of hypothesis testing:</w:t>
      </w:r>
    </w:p>
    <w:p w:rsidR="007F6E96" w:rsidRDefault="00471B81" w:rsidP="00231767">
      <w:pPr>
        <w:pStyle w:val="ListParagraph"/>
        <w:numPr>
          <w:ilvl w:val="0"/>
          <w:numId w:val="2"/>
        </w:numPr>
        <w:spacing w:before="120" w:after="240" w:line="360" w:lineRule="auto"/>
        <w:jc w:val="both"/>
      </w:pPr>
      <w:r>
        <w:t xml:space="preserve">In the current state of human vs. human professional-level play, the first-mover advantage afforded to Black is reasonably nullified by the size of </w:t>
      </w:r>
      <w:proofErr w:type="spellStart"/>
      <w:r>
        <w:t>komi</w:t>
      </w:r>
      <w:proofErr w:type="spellEnd"/>
      <w:r>
        <w:t xml:space="preserve"> (territorial advantage) given to White.</w:t>
      </w:r>
    </w:p>
    <w:p w:rsidR="006C5C44" w:rsidRDefault="003F3EAA" w:rsidP="00231767">
      <w:pPr>
        <w:pStyle w:val="ListParagraph"/>
        <w:numPr>
          <w:ilvl w:val="0"/>
          <w:numId w:val="2"/>
        </w:numPr>
        <w:spacing w:before="120" w:after="240" w:line="360" w:lineRule="auto"/>
        <w:jc w:val="both"/>
      </w:pPr>
      <w:r>
        <w:t>By AG vs. Pro results, we can assume t</w:t>
      </w:r>
      <w:r w:rsidR="00471B81">
        <w:t>hat AlphaGo’s level of gameplay is superior to professional human players</w:t>
      </w:r>
      <w:r w:rsidR="00C171C9">
        <w:t>.</w:t>
      </w:r>
      <w:r w:rsidR="007D4224">
        <w:t xml:space="preserve"> A</w:t>
      </w:r>
      <w:r>
        <w:t>nd since AG vs. AG games are significantly biased to White,</w:t>
      </w:r>
      <w:r w:rsidR="00471B81">
        <w:t xml:space="preserve"> the “</w:t>
      </w:r>
      <w:r w:rsidR="006C5C44">
        <w:t>fair</w:t>
      </w:r>
      <w:r w:rsidR="00471B81">
        <w:t xml:space="preserve">” value of </w:t>
      </w:r>
      <w:proofErr w:type="spellStart"/>
      <w:r w:rsidR="00471B81">
        <w:t>komi</w:t>
      </w:r>
      <w:proofErr w:type="spellEnd"/>
      <w:r w:rsidR="00471B81">
        <w:t xml:space="preserve"> </w:t>
      </w:r>
      <w:r w:rsidR="006C5C44">
        <w:t>in a perfectly played game co</w:t>
      </w:r>
      <w:r w:rsidR="00471B81">
        <w:t xml:space="preserve">uld </w:t>
      </w:r>
      <w:r w:rsidR="006C5C44">
        <w:t xml:space="preserve">reasonably </w:t>
      </w:r>
      <w:r w:rsidR="00471B81">
        <w:t xml:space="preserve">be less than the </w:t>
      </w:r>
      <w:r w:rsidR="00897382">
        <w:t>currently-used values</w:t>
      </w:r>
      <w:r w:rsidR="00471B81">
        <w:t xml:space="preserve"> of 6.5 and 7.5</w:t>
      </w:r>
      <w:r w:rsidR="006C5C44">
        <w:t xml:space="preserve">. Admittedly, another explanation could be that AlphaGo’s playstyle works well against </w:t>
      </w:r>
      <w:r w:rsidR="006C5C44">
        <w:lastRenderedPageBreak/>
        <w:t>human players, but this becomes less important if we plausibly assume that there is variation in playstyle amongst professional players.</w:t>
      </w:r>
      <w:r w:rsidR="006C5C44">
        <w:rPr>
          <w:rStyle w:val="FootnoteReference"/>
        </w:rPr>
        <w:footnoteReference w:id="14"/>
      </w:r>
    </w:p>
    <w:p w:rsidR="006C5C44" w:rsidRDefault="006C5C44" w:rsidP="00231767">
      <w:pPr>
        <w:pStyle w:val="ListParagraph"/>
        <w:spacing w:before="120" w:after="240" w:line="360" w:lineRule="auto"/>
        <w:ind w:left="0"/>
        <w:jc w:val="both"/>
      </w:pPr>
    </w:p>
    <w:p w:rsidR="00471B81" w:rsidRDefault="006C5C44" w:rsidP="00231767">
      <w:pPr>
        <w:pStyle w:val="ListParagraph"/>
        <w:spacing w:before="120" w:after="240" w:line="360" w:lineRule="auto"/>
        <w:ind w:left="0"/>
        <w:jc w:val="both"/>
      </w:pPr>
      <w:r>
        <w:t>If we focus on</w:t>
      </w:r>
      <w:r w:rsidR="007D4224">
        <w:t xml:space="preserve"> AlphaGo’s playstyle</w:t>
      </w:r>
      <w:r>
        <w:t>, we can consider</w:t>
      </w:r>
      <w:r w:rsidR="007D4224">
        <w:t>: does its algorithm work better under reactive circumstances, i.e. when it moves second? In turn, how do playstyles compare across categories and correlate, if at all, with win-rates?</w:t>
      </w:r>
    </w:p>
    <w:p w:rsidR="00C51541" w:rsidRDefault="00C51541" w:rsidP="00231767">
      <w:pPr>
        <w:pStyle w:val="Heading2"/>
        <w:spacing w:before="120" w:after="240" w:line="360" w:lineRule="auto"/>
        <w:jc w:val="both"/>
      </w:pPr>
      <w:bookmarkStart w:id="16" w:name="_Toc499993213"/>
      <w:r>
        <w:t xml:space="preserve">5.2. </w:t>
      </w:r>
      <w:r w:rsidR="0040212D">
        <w:t xml:space="preserve">Measuring Tempo </w:t>
      </w:r>
      <w:r w:rsidR="00E01CEF">
        <w:t>by</w:t>
      </w:r>
      <w:r w:rsidR="0040212D">
        <w:t xml:space="preserve"> </w:t>
      </w:r>
      <w:r>
        <w:t>Euclidean Distance</w:t>
      </w:r>
      <w:bookmarkEnd w:id="16"/>
    </w:p>
    <w:p w:rsidR="006B5635" w:rsidRDefault="00493B4D" w:rsidP="00231767">
      <w:pPr>
        <w:spacing w:before="120" w:after="240" w:line="360" w:lineRule="auto"/>
        <w:jc w:val="both"/>
      </w:pPr>
      <w:r>
        <w:t>As mentioned in our gameplay hypothesis, we focus on “tempo” as an indicator of playstyle</w:t>
      </w:r>
      <w:r w:rsidR="006C2A36">
        <w:t>. Tempo can be further divided into two categories: individual tempo and game tempo.</w:t>
      </w:r>
    </w:p>
    <w:p w:rsidR="006C2A36" w:rsidRDefault="006C2A36" w:rsidP="00231767">
      <w:pPr>
        <w:spacing w:before="120" w:after="240" w:line="360" w:lineRule="auto"/>
        <w:jc w:val="both"/>
      </w:pPr>
      <w:r>
        <w:t xml:space="preserve">Individual tempo is defined </w:t>
      </w:r>
      <w:r w:rsidR="00D321D4">
        <w:t>as the “pace” at which a single player plays, in terms of the location of their move sequence on the board</w:t>
      </w:r>
      <w:r>
        <w:t>. It is measured by taking the Euclidean distance between two consecutive moves made by the same player.</w:t>
      </w:r>
      <w:r w:rsidR="00D321D4">
        <w:rPr>
          <w:rStyle w:val="FootnoteReference"/>
        </w:rPr>
        <w:footnoteReference w:id="15"/>
      </w:r>
      <w:r>
        <w:t xml:space="preserve"> For example, if Black’s first move is at point (16, 16), followed by White’s first move, and then by Black’s second move at (4, 16), </w:t>
      </w:r>
      <w:r w:rsidR="008234C8">
        <w:t>B</w:t>
      </w:r>
      <w:r>
        <w:t>lack’s individual tempo between move 1 and 2</w:t>
      </w:r>
      <w:r w:rsidR="00D321D4">
        <w:t>1</w:t>
      </w:r>
      <w:r>
        <w:t xml:space="preserve"> </w:t>
      </w:r>
      <w:r w:rsidR="008234C8">
        <w:t xml:space="preserve">would </w:t>
      </w:r>
      <w:r>
        <w:t>be 12 units.</w:t>
      </w:r>
    </w:p>
    <w:p w:rsidR="00C51541" w:rsidRDefault="006C2A36" w:rsidP="00231767">
      <w:pPr>
        <w:spacing w:before="120" w:after="240" w:line="360" w:lineRule="auto"/>
        <w:jc w:val="both"/>
      </w:pPr>
      <w:r>
        <w:t>Game tempo addresses the interaction betwee</w:t>
      </w:r>
      <w:r w:rsidR="00AD090D">
        <w:t>n both players as they fight for “initiative”. It</w:t>
      </w:r>
      <w:r>
        <w:t xml:space="preserve"> is defined as the </w:t>
      </w:r>
      <w:r w:rsidR="00AD090D">
        <w:t>responsiveness</w:t>
      </w:r>
      <w:r w:rsidR="00EC7B76">
        <w:t xml:space="preserve"> of a player’s move to the previous move made</w:t>
      </w:r>
      <w:r w:rsidR="008234C8">
        <w:t xml:space="preserve">. Player 2’s responsiveness to Player 1 is measured by the </w:t>
      </w:r>
      <w:r w:rsidR="00EC7B76">
        <w:t xml:space="preserve">average </w:t>
      </w:r>
      <w:r w:rsidR="008234C8">
        <w:t xml:space="preserve">Euclidean distance from </w:t>
      </w:r>
      <w:r w:rsidR="00EC7B76">
        <w:t xml:space="preserve">all </w:t>
      </w:r>
      <w:r w:rsidR="008234C8">
        <w:t>consecutive move pairs in the sequence: Player 1, Player 2.</w:t>
      </w:r>
    </w:p>
    <w:p w:rsidR="009B02F2" w:rsidRDefault="009B02F2" w:rsidP="00231767">
      <w:pPr>
        <w:pStyle w:val="Heading2"/>
        <w:spacing w:before="120" w:after="240" w:line="360" w:lineRule="auto"/>
        <w:jc w:val="both"/>
      </w:pPr>
      <w:bookmarkStart w:id="17" w:name="_Toc499993214"/>
      <w:r>
        <w:t>5.3. Individual Tempo</w:t>
      </w:r>
      <w:bookmarkEnd w:id="17"/>
    </w:p>
    <w:tbl>
      <w:tblPr>
        <w:tblStyle w:val="GridTable1Light-Accent5"/>
        <w:tblW w:w="9360" w:type="dxa"/>
        <w:tblInd w:w="-5" w:type="dxa"/>
        <w:tblLook w:val="04A0" w:firstRow="1" w:lastRow="0" w:firstColumn="1" w:lastColumn="0" w:noHBand="0" w:noVBand="1"/>
      </w:tblPr>
      <w:tblGrid>
        <w:gridCol w:w="1260"/>
        <w:gridCol w:w="2430"/>
        <w:gridCol w:w="2250"/>
        <w:gridCol w:w="2070"/>
        <w:gridCol w:w="1350"/>
      </w:tblGrid>
      <w:tr w:rsidR="003965D8" w:rsidTr="00B51BC6">
        <w:trPr>
          <w:cnfStyle w:val="100000000000" w:firstRow="1" w:lastRow="0" w:firstColumn="0" w:lastColumn="0" w:oddVBand="0" w:evenVBand="0" w:oddHBand="0" w:evenHBand="0" w:firstRowFirstColumn="0" w:firstRowLastColumn="0" w:lastRowFirstColumn="0" w:lastRowLastColumn="0"/>
          <w:trHeight w:val="155"/>
        </w:trPr>
        <w:tc>
          <w:tcPr>
            <w:cnfStyle w:val="001000000000" w:firstRow="0" w:lastRow="0" w:firstColumn="1" w:lastColumn="0" w:oddVBand="0" w:evenVBand="0" w:oddHBand="0" w:evenHBand="0" w:firstRowFirstColumn="0" w:firstRowLastColumn="0" w:lastRowFirstColumn="0" w:lastRowLastColumn="0"/>
            <w:tcW w:w="1260" w:type="dxa"/>
          </w:tcPr>
          <w:p w:rsidR="003965D8" w:rsidRPr="004907FC" w:rsidRDefault="003965D8" w:rsidP="003C66C4">
            <w:pPr>
              <w:spacing w:line="360" w:lineRule="auto"/>
              <w:jc w:val="center"/>
              <w:rPr>
                <w:b w:val="0"/>
                <w:i/>
              </w:rPr>
            </w:pPr>
            <w:r>
              <w:rPr>
                <w:b w:val="0"/>
                <w:i/>
              </w:rPr>
              <w:t>Matchup</w:t>
            </w:r>
          </w:p>
        </w:tc>
        <w:tc>
          <w:tcPr>
            <w:tcW w:w="4680" w:type="dxa"/>
            <w:gridSpan w:val="2"/>
          </w:tcPr>
          <w:p w:rsidR="003965D8" w:rsidRPr="004907FC" w:rsidRDefault="00061B49" w:rsidP="003C66C4">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i/>
                <w:color w:val="000000"/>
              </w:rPr>
            </w:pPr>
            <w:r>
              <w:rPr>
                <w:rFonts w:ascii="Calibri" w:hAnsi="Calibri" w:cs="Calibri"/>
                <w:b w:val="0"/>
                <w:i/>
                <w:color w:val="000000"/>
              </w:rPr>
              <w:t>Mean of Average</w:t>
            </w:r>
            <w:r w:rsidR="003965D8" w:rsidRPr="004907FC">
              <w:rPr>
                <w:rFonts w:ascii="Calibri" w:hAnsi="Calibri" w:cs="Calibri"/>
                <w:b w:val="0"/>
                <w:i/>
                <w:color w:val="000000"/>
              </w:rPr>
              <w:t xml:space="preserve"> Distance Between Move</w:t>
            </w:r>
            <w:r>
              <w:rPr>
                <w:rFonts w:ascii="Calibri" w:hAnsi="Calibri" w:cs="Calibri"/>
                <w:b w:val="0"/>
                <w:i/>
                <w:color w:val="000000"/>
              </w:rPr>
              <w:t xml:space="preserve"> Pairs</w:t>
            </w:r>
          </w:p>
        </w:tc>
        <w:tc>
          <w:tcPr>
            <w:tcW w:w="2070" w:type="dxa"/>
          </w:tcPr>
          <w:p w:rsidR="003965D8" w:rsidRPr="004907FC" w:rsidRDefault="003965D8" w:rsidP="003C66C4">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i/>
                <w:color w:val="000000"/>
              </w:rPr>
            </w:pPr>
            <w:r w:rsidRPr="004907FC">
              <w:rPr>
                <w:rFonts w:ascii="Calibri" w:hAnsi="Calibri" w:cs="Calibri"/>
                <w:b w:val="0"/>
                <w:i/>
                <w:color w:val="000000"/>
              </w:rPr>
              <w:t>Average Difference</w:t>
            </w:r>
          </w:p>
        </w:tc>
        <w:tc>
          <w:tcPr>
            <w:tcW w:w="1350" w:type="dxa"/>
          </w:tcPr>
          <w:p w:rsidR="003965D8" w:rsidRPr="003965D8" w:rsidRDefault="003965D8" w:rsidP="003C66C4">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i/>
                <w:color w:val="000000"/>
              </w:rPr>
            </w:pPr>
            <w:r>
              <w:rPr>
                <w:rFonts w:ascii="Calibri" w:hAnsi="Calibri" w:cs="Calibri"/>
                <w:b w:val="0"/>
                <w:i/>
                <w:color w:val="000000"/>
              </w:rPr>
              <w:t>Win-Rate</w:t>
            </w:r>
          </w:p>
        </w:tc>
      </w:tr>
      <w:tr w:rsidR="003965D8" w:rsidTr="00B51BC6">
        <w:trPr>
          <w:trHeight w:val="313"/>
        </w:trPr>
        <w:tc>
          <w:tcPr>
            <w:cnfStyle w:val="001000000000" w:firstRow="0" w:lastRow="0" w:firstColumn="1" w:lastColumn="0" w:oddVBand="0" w:evenVBand="0" w:oddHBand="0" w:evenHBand="0" w:firstRowFirstColumn="0" w:firstRowLastColumn="0" w:lastRowFirstColumn="0" w:lastRowLastColumn="0"/>
            <w:tcW w:w="1260" w:type="dxa"/>
          </w:tcPr>
          <w:p w:rsidR="003965D8" w:rsidRDefault="003965D8" w:rsidP="003C66C4">
            <w:pPr>
              <w:spacing w:line="360" w:lineRule="auto"/>
              <w:jc w:val="center"/>
              <w:rPr>
                <w:rFonts w:ascii="Calibri" w:hAnsi="Calibri" w:cs="Calibri"/>
                <w:color w:val="000000"/>
              </w:rPr>
            </w:pPr>
          </w:p>
        </w:tc>
        <w:tc>
          <w:tcPr>
            <w:tcW w:w="2430" w:type="dxa"/>
          </w:tcPr>
          <w:p w:rsidR="003965D8" w:rsidRPr="004907FC" w:rsidRDefault="003965D8" w:rsidP="003C66C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4907FC">
              <w:rPr>
                <w:rFonts w:ascii="Calibri" w:hAnsi="Calibri" w:cs="Calibri"/>
                <w:b/>
                <w:color w:val="000000"/>
              </w:rPr>
              <w:t>Black to Black</w:t>
            </w:r>
            <w:r w:rsidR="00B51BC6">
              <w:rPr>
                <w:rFonts w:ascii="Calibri" w:hAnsi="Calibri" w:cs="Calibri"/>
                <w:b/>
                <w:color w:val="000000"/>
              </w:rPr>
              <w:t xml:space="preserve"> (BB)</w:t>
            </w:r>
          </w:p>
        </w:tc>
        <w:tc>
          <w:tcPr>
            <w:tcW w:w="2250" w:type="dxa"/>
          </w:tcPr>
          <w:p w:rsidR="003965D8" w:rsidRPr="004907FC" w:rsidRDefault="003965D8" w:rsidP="003C66C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4907FC">
              <w:rPr>
                <w:rFonts w:ascii="Calibri" w:hAnsi="Calibri" w:cs="Calibri"/>
                <w:b/>
                <w:color w:val="000000"/>
              </w:rPr>
              <w:t>White to White</w:t>
            </w:r>
            <w:r w:rsidR="00B51BC6">
              <w:rPr>
                <w:rFonts w:ascii="Calibri" w:hAnsi="Calibri" w:cs="Calibri"/>
                <w:b/>
                <w:color w:val="000000"/>
              </w:rPr>
              <w:t xml:space="preserve"> (WW)</w:t>
            </w:r>
          </w:p>
        </w:tc>
        <w:tc>
          <w:tcPr>
            <w:tcW w:w="2070" w:type="dxa"/>
          </w:tcPr>
          <w:p w:rsidR="003965D8" w:rsidRPr="004907FC" w:rsidRDefault="003965D8" w:rsidP="003C66C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4907FC">
              <w:rPr>
                <w:rFonts w:ascii="Calibri" w:hAnsi="Calibri" w:cs="Calibri"/>
                <w:b/>
                <w:color w:val="000000"/>
              </w:rPr>
              <w:t>BB – WW</w:t>
            </w:r>
          </w:p>
        </w:tc>
        <w:tc>
          <w:tcPr>
            <w:tcW w:w="1350" w:type="dxa"/>
          </w:tcPr>
          <w:p w:rsidR="003965D8" w:rsidRPr="004907FC" w:rsidRDefault="003965D8" w:rsidP="003C66C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Pr>
                <w:rFonts w:ascii="Calibri" w:hAnsi="Calibri" w:cs="Calibri"/>
                <w:b/>
                <w:color w:val="000000"/>
              </w:rPr>
              <w:t>Black</w:t>
            </w:r>
          </w:p>
        </w:tc>
      </w:tr>
      <w:tr w:rsidR="003965D8" w:rsidTr="00B51BC6">
        <w:trPr>
          <w:trHeight w:val="150"/>
        </w:trPr>
        <w:tc>
          <w:tcPr>
            <w:cnfStyle w:val="001000000000" w:firstRow="0" w:lastRow="0" w:firstColumn="1" w:lastColumn="0" w:oddVBand="0" w:evenVBand="0" w:oddHBand="0" w:evenHBand="0" w:firstRowFirstColumn="0" w:firstRowLastColumn="0" w:lastRowFirstColumn="0" w:lastRowLastColumn="0"/>
            <w:tcW w:w="1260" w:type="dxa"/>
          </w:tcPr>
          <w:p w:rsidR="003965D8" w:rsidRDefault="003965D8" w:rsidP="003C66C4">
            <w:pPr>
              <w:spacing w:line="360" w:lineRule="auto"/>
              <w:jc w:val="center"/>
              <w:rPr>
                <w:rFonts w:ascii="Calibri" w:hAnsi="Calibri" w:cs="Calibri"/>
                <w:color w:val="000000"/>
              </w:rPr>
            </w:pPr>
            <w:r>
              <w:rPr>
                <w:rFonts w:ascii="Calibri" w:hAnsi="Calibri" w:cs="Calibri"/>
                <w:color w:val="000000"/>
              </w:rPr>
              <w:t>AG vs. AG</w:t>
            </w:r>
          </w:p>
        </w:tc>
        <w:tc>
          <w:tcPr>
            <w:tcW w:w="2430" w:type="dxa"/>
          </w:tcPr>
          <w:p w:rsidR="003965D8" w:rsidRDefault="003965D8" w:rsidP="003C66C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6.65</w:t>
            </w:r>
          </w:p>
        </w:tc>
        <w:tc>
          <w:tcPr>
            <w:tcW w:w="2250" w:type="dxa"/>
          </w:tcPr>
          <w:p w:rsidR="003965D8" w:rsidRDefault="003965D8" w:rsidP="003C66C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6.56</w:t>
            </w:r>
          </w:p>
        </w:tc>
        <w:tc>
          <w:tcPr>
            <w:tcW w:w="2070" w:type="dxa"/>
          </w:tcPr>
          <w:p w:rsidR="003965D8" w:rsidRDefault="003965D8" w:rsidP="003C66C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0.09</w:t>
            </w:r>
          </w:p>
        </w:tc>
        <w:tc>
          <w:tcPr>
            <w:tcW w:w="1350" w:type="dxa"/>
          </w:tcPr>
          <w:p w:rsidR="003965D8" w:rsidRDefault="003965D8" w:rsidP="003C66C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24.0%</w:t>
            </w:r>
          </w:p>
        </w:tc>
      </w:tr>
      <w:tr w:rsidR="003965D8" w:rsidTr="00B51BC6">
        <w:trPr>
          <w:trHeight w:val="155"/>
        </w:trPr>
        <w:tc>
          <w:tcPr>
            <w:cnfStyle w:val="001000000000" w:firstRow="0" w:lastRow="0" w:firstColumn="1" w:lastColumn="0" w:oddVBand="0" w:evenVBand="0" w:oddHBand="0" w:evenHBand="0" w:firstRowFirstColumn="0" w:firstRowLastColumn="0" w:lastRowFirstColumn="0" w:lastRowLastColumn="0"/>
            <w:tcW w:w="1260" w:type="dxa"/>
          </w:tcPr>
          <w:p w:rsidR="003965D8" w:rsidRDefault="003965D8" w:rsidP="003C66C4">
            <w:pPr>
              <w:spacing w:line="360" w:lineRule="auto"/>
              <w:jc w:val="center"/>
              <w:rPr>
                <w:rFonts w:ascii="Calibri" w:hAnsi="Calibri" w:cs="Calibri"/>
                <w:color w:val="000000"/>
              </w:rPr>
            </w:pPr>
            <w:r>
              <w:rPr>
                <w:rFonts w:ascii="Calibri" w:hAnsi="Calibri" w:cs="Calibri"/>
                <w:color w:val="000000"/>
              </w:rPr>
              <w:t>AG vs. Pro</w:t>
            </w:r>
          </w:p>
        </w:tc>
        <w:tc>
          <w:tcPr>
            <w:tcW w:w="2430" w:type="dxa"/>
          </w:tcPr>
          <w:p w:rsidR="003965D8" w:rsidRDefault="003965D8" w:rsidP="003C66C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5.54</w:t>
            </w:r>
          </w:p>
        </w:tc>
        <w:tc>
          <w:tcPr>
            <w:tcW w:w="2250" w:type="dxa"/>
          </w:tcPr>
          <w:p w:rsidR="003965D8" w:rsidRDefault="003965D8" w:rsidP="003C66C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5.52</w:t>
            </w:r>
          </w:p>
        </w:tc>
        <w:tc>
          <w:tcPr>
            <w:tcW w:w="2070" w:type="dxa"/>
          </w:tcPr>
          <w:p w:rsidR="003965D8" w:rsidRDefault="003965D8" w:rsidP="003C66C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w:t>
            </w:r>
          </w:p>
        </w:tc>
        <w:tc>
          <w:tcPr>
            <w:tcW w:w="1350" w:type="dxa"/>
          </w:tcPr>
          <w:p w:rsidR="003965D8" w:rsidRDefault="003965D8" w:rsidP="003C66C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48.0%</w:t>
            </w:r>
          </w:p>
        </w:tc>
      </w:tr>
      <w:tr w:rsidR="003965D8" w:rsidTr="00B51BC6">
        <w:trPr>
          <w:trHeight w:val="155"/>
        </w:trPr>
        <w:tc>
          <w:tcPr>
            <w:cnfStyle w:val="001000000000" w:firstRow="0" w:lastRow="0" w:firstColumn="1" w:lastColumn="0" w:oddVBand="0" w:evenVBand="0" w:oddHBand="0" w:evenHBand="0" w:firstRowFirstColumn="0" w:firstRowLastColumn="0" w:lastRowFirstColumn="0" w:lastRowLastColumn="0"/>
            <w:tcW w:w="1260" w:type="dxa"/>
          </w:tcPr>
          <w:p w:rsidR="003965D8" w:rsidRDefault="003965D8" w:rsidP="003C66C4">
            <w:pPr>
              <w:spacing w:line="360" w:lineRule="auto"/>
              <w:jc w:val="center"/>
              <w:rPr>
                <w:rFonts w:ascii="Calibri" w:hAnsi="Calibri" w:cs="Calibri"/>
                <w:color w:val="000000"/>
              </w:rPr>
            </w:pPr>
            <w:r>
              <w:rPr>
                <w:rFonts w:ascii="Calibri" w:hAnsi="Calibri" w:cs="Calibri"/>
                <w:color w:val="000000"/>
              </w:rPr>
              <w:t>Pro vs. Pro</w:t>
            </w:r>
          </w:p>
        </w:tc>
        <w:tc>
          <w:tcPr>
            <w:tcW w:w="2430" w:type="dxa"/>
          </w:tcPr>
          <w:p w:rsidR="003965D8" w:rsidRDefault="003965D8" w:rsidP="003C66C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5.53</w:t>
            </w:r>
          </w:p>
        </w:tc>
        <w:tc>
          <w:tcPr>
            <w:tcW w:w="2250" w:type="dxa"/>
          </w:tcPr>
          <w:p w:rsidR="003965D8" w:rsidRDefault="003965D8" w:rsidP="003C66C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5.44</w:t>
            </w:r>
          </w:p>
        </w:tc>
        <w:tc>
          <w:tcPr>
            <w:tcW w:w="2070" w:type="dxa"/>
          </w:tcPr>
          <w:p w:rsidR="003965D8" w:rsidRDefault="003965D8" w:rsidP="003C66C4">
            <w:pPr>
              <w:spacing w:line="360" w:lineRule="auto"/>
              <w:jc w:val="center"/>
              <w:cnfStyle w:val="000000000000" w:firstRow="0" w:lastRow="0" w:firstColumn="0" w:lastColumn="0" w:oddVBand="0" w:evenVBand="0" w:oddHBand="0" w:evenHBand="0" w:firstRowFirstColumn="0" w:firstRowLastColumn="0" w:lastRowFirstColumn="0" w:lastRowLastColumn="0"/>
            </w:pPr>
            <w:r>
              <w:t>0.09</w:t>
            </w:r>
          </w:p>
        </w:tc>
        <w:tc>
          <w:tcPr>
            <w:tcW w:w="1350" w:type="dxa"/>
          </w:tcPr>
          <w:p w:rsidR="003965D8" w:rsidRDefault="003965D8" w:rsidP="003C66C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50.7%</w:t>
            </w:r>
          </w:p>
        </w:tc>
      </w:tr>
    </w:tbl>
    <w:p w:rsidR="00C760C2" w:rsidRDefault="00FF7080" w:rsidP="00231767">
      <w:pPr>
        <w:spacing w:before="120" w:after="240" w:line="360" w:lineRule="auto"/>
        <w:jc w:val="both"/>
      </w:pPr>
      <w:r>
        <w:lastRenderedPageBreak/>
        <w:t xml:space="preserve">From the results above, </w:t>
      </w:r>
      <w:r w:rsidR="00F60B63">
        <w:t>AG vs. AG games seem to have a higher tempo on average, compared to games in the AG vs. Pro and Pro vs. Pro categories. In terms of playstyle, this implies that when two AIs play each other, they tend to move more rapidly across various locations on the Go board. If we assume that AlphaGo has a superior level of gameplay to human players, this supports the conventional advice that playing “lightly” is indicative of good game sense and sound strategy. In turn, this could possibly improve one’s winning probability.</w:t>
      </w:r>
    </w:p>
    <w:p w:rsidR="00F60B63" w:rsidRDefault="00F60B63" w:rsidP="00231767">
      <w:pPr>
        <w:spacing w:before="120" w:after="240" w:line="360" w:lineRule="auto"/>
        <w:jc w:val="both"/>
      </w:pPr>
      <w:r>
        <w:t>Notably, Black seems to be playing at a faster individual tempo than White across all three categories</w:t>
      </w:r>
      <w:r w:rsidR="003371FF">
        <w:t>, but this difference is small to negligible due to standard deviation values</w:t>
      </w:r>
      <w:r>
        <w:t xml:space="preserve">. </w:t>
      </w:r>
      <w:r w:rsidR="003371FF">
        <w:t xml:space="preserve">Regardless, </w:t>
      </w:r>
      <w:proofErr w:type="gramStart"/>
      <w:r w:rsidR="003371FF">
        <w:t>a</w:t>
      </w:r>
      <w:r w:rsidR="001005CC">
        <w:t xml:space="preserve"> possible reason</w:t>
      </w:r>
      <w:proofErr w:type="gramEnd"/>
      <w:r w:rsidR="001005CC">
        <w:t xml:space="preserve"> for this is Black’s first-move advantage and inherent territorial disadvantage. To reduce his or her initial deficit, Black is </w:t>
      </w:r>
      <w:r w:rsidR="003371FF">
        <w:t>pressure</w:t>
      </w:r>
      <w:r w:rsidR="001005CC">
        <w:t xml:space="preserve">d </w:t>
      </w:r>
      <w:r w:rsidR="003371FF">
        <w:t>to move around the border faster and be the one to create opportunities.</w:t>
      </w:r>
    </w:p>
    <w:p w:rsidR="00425A33" w:rsidRDefault="00861965" w:rsidP="00231767">
      <w:pPr>
        <w:spacing w:before="120" w:after="240" w:line="360" w:lineRule="auto"/>
        <w:jc w:val="both"/>
      </w:pPr>
      <w:r>
        <w:t>Finally, individual tempo, taken either player-by-player or by comparison, appears to have no direct lin</w:t>
      </w:r>
      <w:r w:rsidR="00425A33">
        <w:t>k</w:t>
      </w:r>
      <w:r>
        <w:t xml:space="preserve"> to win-rates. </w:t>
      </w:r>
      <w:r w:rsidR="00425A33">
        <w:t>Now, setting aside win-rates, we</w:t>
      </w:r>
      <w:r>
        <w:t xml:space="preserve"> consider </w:t>
      </w:r>
      <w:r w:rsidR="00425A33">
        <w:t>the correlation between Black and White tempo.</w:t>
      </w:r>
    </w:p>
    <w:p w:rsidR="00173995" w:rsidRDefault="00173995" w:rsidP="00F56B7A">
      <w:pPr>
        <w:spacing w:before="120" w:after="240" w:line="360" w:lineRule="auto"/>
        <w:jc w:val="center"/>
      </w:pPr>
      <w:r>
        <w:rPr>
          <w:noProof/>
        </w:rPr>
        <w:drawing>
          <wp:inline distT="0" distB="0" distL="0" distR="0" wp14:anchorId="3F82A338" wp14:editId="11BC68E6">
            <wp:extent cx="4939476" cy="309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4480" cy="3108104"/>
                    </a:xfrm>
                    <a:prstGeom prst="rect">
                      <a:avLst/>
                    </a:prstGeom>
                    <a:noFill/>
                    <a:ln>
                      <a:noFill/>
                    </a:ln>
                  </pic:spPr>
                </pic:pic>
              </a:graphicData>
            </a:graphic>
          </wp:inline>
        </w:drawing>
      </w:r>
    </w:p>
    <w:p w:rsidR="00173995" w:rsidRDefault="00F56B7A" w:rsidP="00231767">
      <w:pPr>
        <w:spacing w:before="120" w:after="240" w:line="360" w:lineRule="auto"/>
        <w:jc w:val="both"/>
        <w:rPr>
          <w:noProof/>
        </w:rPr>
      </w:pPr>
      <w:r>
        <w:rPr>
          <w:noProof/>
        </w:rPr>
        <w:t>Plotting average Euclidean distance</w:t>
      </w:r>
      <w:r w:rsidR="00425A33">
        <w:rPr>
          <w:rStyle w:val="FootnoteReference"/>
          <w:noProof/>
        </w:rPr>
        <w:footnoteReference w:id="16"/>
      </w:r>
      <w:r>
        <w:rPr>
          <w:noProof/>
        </w:rPr>
        <w:t xml:space="preserve"> pairs of Black to Black against White to White for every game across the three categories yields a strong positive correlation, modelled by linear regression</w:t>
      </w:r>
      <w:r>
        <w:rPr>
          <w:rStyle w:val="FootnoteReference"/>
          <w:noProof/>
        </w:rPr>
        <w:footnoteReference w:id="17"/>
      </w:r>
      <w:r>
        <w:rPr>
          <w:noProof/>
        </w:rPr>
        <w:t>.</w:t>
      </w:r>
    </w:p>
    <w:p w:rsidR="00173995" w:rsidRDefault="008C443E" w:rsidP="00842A69">
      <w:pPr>
        <w:spacing w:before="120" w:after="240" w:line="360" w:lineRule="auto"/>
        <w:jc w:val="center"/>
      </w:pPr>
      <w:r>
        <w:rPr>
          <w:noProof/>
        </w:rPr>
        <w:lastRenderedPageBreak/>
        <w:drawing>
          <wp:inline distT="0" distB="0" distL="0" distR="0">
            <wp:extent cx="5943600" cy="3721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21650"/>
                    </a:xfrm>
                    <a:prstGeom prst="rect">
                      <a:avLst/>
                    </a:prstGeom>
                    <a:noFill/>
                    <a:ln>
                      <a:noFill/>
                    </a:ln>
                  </pic:spPr>
                </pic:pic>
              </a:graphicData>
            </a:graphic>
          </wp:inline>
        </w:drawing>
      </w:r>
    </w:p>
    <w:p w:rsidR="00173995" w:rsidRDefault="00173995" w:rsidP="00231767">
      <w:pPr>
        <w:spacing w:before="120" w:after="240" w:line="360" w:lineRule="auto"/>
        <w:jc w:val="both"/>
      </w:pPr>
    </w:p>
    <w:p w:rsidR="00173995" w:rsidRDefault="003E37AF" w:rsidP="00842A69">
      <w:pPr>
        <w:spacing w:before="120" w:after="240" w:line="360" w:lineRule="auto"/>
        <w:jc w:val="center"/>
      </w:pPr>
      <w:r>
        <w:rPr>
          <w:noProof/>
        </w:rPr>
        <w:drawing>
          <wp:inline distT="0" distB="0" distL="0" distR="0">
            <wp:extent cx="5943600" cy="3721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21650"/>
                    </a:xfrm>
                    <a:prstGeom prst="rect">
                      <a:avLst/>
                    </a:prstGeom>
                    <a:noFill/>
                    <a:ln>
                      <a:noFill/>
                    </a:ln>
                  </pic:spPr>
                </pic:pic>
              </a:graphicData>
            </a:graphic>
          </wp:inline>
        </w:drawing>
      </w:r>
    </w:p>
    <w:p w:rsidR="00173995" w:rsidRDefault="003E37AF" w:rsidP="00842A69">
      <w:pPr>
        <w:spacing w:before="120" w:after="240" w:line="360" w:lineRule="auto"/>
        <w:jc w:val="center"/>
      </w:pPr>
      <w:r>
        <w:rPr>
          <w:noProof/>
        </w:rPr>
        <w:lastRenderedPageBreak/>
        <w:drawing>
          <wp:inline distT="0" distB="0" distL="0" distR="0">
            <wp:extent cx="5943600" cy="3721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21650"/>
                    </a:xfrm>
                    <a:prstGeom prst="rect">
                      <a:avLst/>
                    </a:prstGeom>
                    <a:noFill/>
                    <a:ln>
                      <a:noFill/>
                    </a:ln>
                  </pic:spPr>
                </pic:pic>
              </a:graphicData>
            </a:graphic>
          </wp:inline>
        </w:drawing>
      </w:r>
    </w:p>
    <w:p w:rsidR="00173995" w:rsidRDefault="00173995" w:rsidP="00231767">
      <w:pPr>
        <w:spacing w:before="120" w:after="240" w:line="360" w:lineRule="auto"/>
        <w:jc w:val="both"/>
      </w:pPr>
    </w:p>
    <w:p w:rsidR="003E37AF" w:rsidRDefault="003E37AF" w:rsidP="00842A69">
      <w:pPr>
        <w:spacing w:before="120" w:after="240" w:line="360" w:lineRule="auto"/>
        <w:jc w:val="center"/>
      </w:pPr>
      <w:r>
        <w:rPr>
          <w:noProof/>
        </w:rPr>
        <w:drawing>
          <wp:inline distT="0" distB="0" distL="0" distR="0">
            <wp:extent cx="5943600" cy="3721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21650"/>
                    </a:xfrm>
                    <a:prstGeom prst="rect">
                      <a:avLst/>
                    </a:prstGeom>
                    <a:noFill/>
                    <a:ln>
                      <a:noFill/>
                    </a:ln>
                  </pic:spPr>
                </pic:pic>
              </a:graphicData>
            </a:graphic>
          </wp:inline>
        </w:drawing>
      </w:r>
    </w:p>
    <w:p w:rsidR="003E37AF" w:rsidRDefault="00827054" w:rsidP="00231767">
      <w:pPr>
        <w:spacing w:before="120" w:after="240" w:line="360" w:lineRule="auto"/>
        <w:jc w:val="both"/>
      </w:pPr>
      <w:r>
        <w:lastRenderedPageBreak/>
        <w:t>As shown above, running a linear regression model on each category separately also yields a strong positive correlation between individual tempos.</w:t>
      </w:r>
    </w:p>
    <w:p w:rsidR="00827054" w:rsidRDefault="00827054" w:rsidP="00231767">
      <w:pPr>
        <w:spacing w:before="120" w:after="240" w:line="360" w:lineRule="auto"/>
        <w:jc w:val="both"/>
      </w:pPr>
      <w:r>
        <w:t>A possible explanation for this is</w:t>
      </w:r>
      <w:r w:rsidR="00E01B2C">
        <w:t xml:space="preserve"> that both players naturally play towards each other’s tempo. Individual tempo is measured as the Euclidean distance between moves of the same color, but doesn’t account for the fact the second move is also greatly affected by the opponent’s move prior to it. By the nature of Go, each player is forced to respond to each other’s moves to some extent; by playing in similar areas of the board at similar times, both players would record a similar value for individual tempo.</w:t>
      </w:r>
    </w:p>
    <w:p w:rsidR="00574116" w:rsidRDefault="0081482D" w:rsidP="00231767">
      <w:pPr>
        <w:spacing w:before="120" w:after="240" w:line="360" w:lineRule="auto"/>
        <w:jc w:val="both"/>
      </w:pPr>
      <w:r>
        <w:t>To clarify the</w:t>
      </w:r>
      <w:r w:rsidR="00574116">
        <w:t xml:space="preserve"> </w:t>
      </w:r>
      <w:proofErr w:type="gramStart"/>
      <w:r w:rsidR="00574116">
        <w:t>important f</w:t>
      </w:r>
      <w:r>
        <w:t>actor</w:t>
      </w:r>
      <w:proofErr w:type="gramEnd"/>
      <w:r>
        <w:t xml:space="preserve"> </w:t>
      </w:r>
      <w:r w:rsidR="00574116">
        <w:t xml:space="preserve">of responsiveness, </w:t>
      </w:r>
      <w:r>
        <w:t>we look into consecutive move pairs of different colors</w:t>
      </w:r>
      <w:r w:rsidR="00574116">
        <w:t>.</w:t>
      </w:r>
    </w:p>
    <w:p w:rsidR="009B02F2" w:rsidRDefault="009B02F2" w:rsidP="003C66C4">
      <w:pPr>
        <w:pStyle w:val="Heading2"/>
        <w:spacing w:before="120" w:after="240" w:line="360" w:lineRule="auto"/>
      </w:pPr>
      <w:bookmarkStart w:id="18" w:name="_Toc499993215"/>
      <w:r>
        <w:t>5.2. Game Tempo and Responsiveness</w:t>
      </w:r>
      <w:bookmarkEnd w:id="18"/>
    </w:p>
    <w:tbl>
      <w:tblPr>
        <w:tblStyle w:val="GridTable1Light-Accent5"/>
        <w:tblW w:w="9360" w:type="dxa"/>
        <w:tblInd w:w="-5" w:type="dxa"/>
        <w:tblLook w:val="04A0" w:firstRow="1" w:lastRow="0" w:firstColumn="1" w:lastColumn="0" w:noHBand="0" w:noVBand="1"/>
      </w:tblPr>
      <w:tblGrid>
        <w:gridCol w:w="1260"/>
        <w:gridCol w:w="2340"/>
        <w:gridCol w:w="2250"/>
        <w:gridCol w:w="2160"/>
        <w:gridCol w:w="1350"/>
      </w:tblGrid>
      <w:tr w:rsidR="005944E6" w:rsidRPr="003965D8" w:rsidTr="00403B14">
        <w:trPr>
          <w:cnfStyle w:val="100000000000" w:firstRow="1" w:lastRow="0" w:firstColumn="0" w:lastColumn="0" w:oddVBand="0" w:evenVBand="0" w:oddHBand="0" w:evenHBand="0" w:firstRowFirstColumn="0" w:firstRowLastColumn="0" w:lastRowFirstColumn="0" w:lastRowLastColumn="0"/>
          <w:trHeight w:val="155"/>
        </w:trPr>
        <w:tc>
          <w:tcPr>
            <w:cnfStyle w:val="001000000000" w:firstRow="0" w:lastRow="0" w:firstColumn="1" w:lastColumn="0" w:oddVBand="0" w:evenVBand="0" w:oddHBand="0" w:evenHBand="0" w:firstRowFirstColumn="0" w:firstRowLastColumn="0" w:lastRowFirstColumn="0" w:lastRowLastColumn="0"/>
            <w:tcW w:w="1260" w:type="dxa"/>
          </w:tcPr>
          <w:p w:rsidR="005944E6" w:rsidRPr="004907FC" w:rsidRDefault="005944E6" w:rsidP="003C66C4">
            <w:pPr>
              <w:spacing w:line="360" w:lineRule="auto"/>
              <w:jc w:val="center"/>
              <w:rPr>
                <w:b w:val="0"/>
                <w:i/>
              </w:rPr>
            </w:pPr>
            <w:r>
              <w:rPr>
                <w:b w:val="0"/>
                <w:i/>
              </w:rPr>
              <w:t>Matchup</w:t>
            </w:r>
          </w:p>
        </w:tc>
        <w:tc>
          <w:tcPr>
            <w:tcW w:w="4590" w:type="dxa"/>
            <w:gridSpan w:val="2"/>
          </w:tcPr>
          <w:p w:rsidR="005944E6" w:rsidRPr="004907FC" w:rsidRDefault="005944E6" w:rsidP="003C66C4">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i/>
                <w:color w:val="000000"/>
              </w:rPr>
            </w:pPr>
            <w:r>
              <w:rPr>
                <w:rFonts w:ascii="Calibri" w:hAnsi="Calibri" w:cs="Calibri"/>
                <w:b w:val="0"/>
                <w:i/>
                <w:color w:val="000000"/>
              </w:rPr>
              <w:t>Mean of Average</w:t>
            </w:r>
            <w:r w:rsidRPr="004907FC">
              <w:rPr>
                <w:rFonts w:ascii="Calibri" w:hAnsi="Calibri" w:cs="Calibri"/>
                <w:b w:val="0"/>
                <w:i/>
                <w:color w:val="000000"/>
              </w:rPr>
              <w:t xml:space="preserve"> Distance Between Move</w:t>
            </w:r>
            <w:r>
              <w:rPr>
                <w:rFonts w:ascii="Calibri" w:hAnsi="Calibri" w:cs="Calibri"/>
                <w:b w:val="0"/>
                <w:i/>
                <w:color w:val="000000"/>
              </w:rPr>
              <w:t xml:space="preserve"> Pairs</w:t>
            </w:r>
          </w:p>
        </w:tc>
        <w:tc>
          <w:tcPr>
            <w:tcW w:w="2160" w:type="dxa"/>
          </w:tcPr>
          <w:p w:rsidR="005944E6" w:rsidRPr="004907FC" w:rsidRDefault="00403B14" w:rsidP="003C66C4">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i/>
                <w:color w:val="000000"/>
              </w:rPr>
            </w:pPr>
            <w:r>
              <w:rPr>
                <w:rFonts w:ascii="Calibri" w:hAnsi="Calibri" w:cs="Calibri"/>
                <w:b w:val="0"/>
                <w:i/>
                <w:color w:val="000000"/>
              </w:rPr>
              <w:t>Responsiveness Ratio</w:t>
            </w:r>
          </w:p>
        </w:tc>
        <w:tc>
          <w:tcPr>
            <w:tcW w:w="1350" w:type="dxa"/>
          </w:tcPr>
          <w:p w:rsidR="005944E6" w:rsidRPr="003965D8" w:rsidRDefault="005944E6" w:rsidP="003C66C4">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i/>
                <w:color w:val="000000"/>
              </w:rPr>
            </w:pPr>
            <w:r>
              <w:rPr>
                <w:rFonts w:ascii="Calibri" w:hAnsi="Calibri" w:cs="Calibri"/>
                <w:b w:val="0"/>
                <w:i/>
                <w:color w:val="000000"/>
              </w:rPr>
              <w:t>Win-Rate</w:t>
            </w:r>
          </w:p>
        </w:tc>
      </w:tr>
      <w:tr w:rsidR="005944E6" w:rsidRPr="004907FC" w:rsidTr="00403B14">
        <w:trPr>
          <w:trHeight w:val="313"/>
        </w:trPr>
        <w:tc>
          <w:tcPr>
            <w:cnfStyle w:val="001000000000" w:firstRow="0" w:lastRow="0" w:firstColumn="1" w:lastColumn="0" w:oddVBand="0" w:evenVBand="0" w:oddHBand="0" w:evenHBand="0" w:firstRowFirstColumn="0" w:firstRowLastColumn="0" w:lastRowFirstColumn="0" w:lastRowLastColumn="0"/>
            <w:tcW w:w="1260" w:type="dxa"/>
          </w:tcPr>
          <w:p w:rsidR="005944E6" w:rsidRDefault="005944E6" w:rsidP="003C66C4">
            <w:pPr>
              <w:spacing w:line="360" w:lineRule="auto"/>
              <w:jc w:val="center"/>
              <w:rPr>
                <w:rFonts w:ascii="Calibri" w:hAnsi="Calibri" w:cs="Calibri"/>
                <w:color w:val="000000"/>
              </w:rPr>
            </w:pPr>
          </w:p>
        </w:tc>
        <w:tc>
          <w:tcPr>
            <w:tcW w:w="2340" w:type="dxa"/>
          </w:tcPr>
          <w:p w:rsidR="005944E6" w:rsidRPr="004907FC" w:rsidRDefault="005944E6" w:rsidP="003C66C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Pr>
                <w:rFonts w:ascii="Calibri" w:hAnsi="Calibri" w:cs="Calibri"/>
                <w:b/>
                <w:color w:val="000000"/>
              </w:rPr>
              <w:t>Black to White (BW)</w:t>
            </w:r>
          </w:p>
        </w:tc>
        <w:tc>
          <w:tcPr>
            <w:tcW w:w="2250" w:type="dxa"/>
          </w:tcPr>
          <w:p w:rsidR="005944E6" w:rsidRPr="004907FC" w:rsidRDefault="005944E6" w:rsidP="003C66C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4907FC">
              <w:rPr>
                <w:rFonts w:ascii="Calibri" w:hAnsi="Calibri" w:cs="Calibri"/>
                <w:b/>
                <w:color w:val="000000"/>
              </w:rPr>
              <w:t xml:space="preserve">White to </w:t>
            </w:r>
            <w:r>
              <w:rPr>
                <w:rFonts w:ascii="Calibri" w:hAnsi="Calibri" w:cs="Calibri"/>
                <w:b/>
                <w:color w:val="000000"/>
              </w:rPr>
              <w:t>Black (WB)</w:t>
            </w:r>
          </w:p>
        </w:tc>
        <w:tc>
          <w:tcPr>
            <w:tcW w:w="2160" w:type="dxa"/>
          </w:tcPr>
          <w:p w:rsidR="005944E6" w:rsidRPr="004907FC" w:rsidRDefault="00403B14" w:rsidP="003C66C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Pr>
                <w:rFonts w:ascii="Calibri" w:hAnsi="Calibri" w:cs="Calibri"/>
                <w:b/>
                <w:color w:val="000000"/>
              </w:rPr>
              <w:t>BW/WB</w:t>
            </w:r>
          </w:p>
        </w:tc>
        <w:tc>
          <w:tcPr>
            <w:tcW w:w="1350" w:type="dxa"/>
          </w:tcPr>
          <w:p w:rsidR="005944E6" w:rsidRPr="004907FC" w:rsidRDefault="005944E6" w:rsidP="003C66C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Pr>
                <w:rFonts w:ascii="Calibri" w:hAnsi="Calibri" w:cs="Calibri"/>
                <w:b/>
                <w:color w:val="000000"/>
              </w:rPr>
              <w:t>Black</w:t>
            </w:r>
          </w:p>
        </w:tc>
      </w:tr>
      <w:tr w:rsidR="00403B14" w:rsidTr="009E39F9">
        <w:trPr>
          <w:trHeight w:val="150"/>
        </w:trPr>
        <w:tc>
          <w:tcPr>
            <w:cnfStyle w:val="001000000000" w:firstRow="0" w:lastRow="0" w:firstColumn="1" w:lastColumn="0" w:oddVBand="0" w:evenVBand="0" w:oddHBand="0" w:evenHBand="0" w:firstRowFirstColumn="0" w:firstRowLastColumn="0" w:lastRowFirstColumn="0" w:lastRowLastColumn="0"/>
            <w:tcW w:w="1260" w:type="dxa"/>
          </w:tcPr>
          <w:p w:rsidR="00403B14" w:rsidRDefault="00403B14" w:rsidP="003C66C4">
            <w:pPr>
              <w:spacing w:line="360" w:lineRule="auto"/>
              <w:jc w:val="center"/>
              <w:rPr>
                <w:rFonts w:ascii="Calibri" w:hAnsi="Calibri" w:cs="Calibri"/>
                <w:color w:val="000000"/>
              </w:rPr>
            </w:pPr>
            <w:r>
              <w:rPr>
                <w:rFonts w:ascii="Calibri" w:hAnsi="Calibri" w:cs="Calibri"/>
                <w:color w:val="000000"/>
              </w:rPr>
              <w:t>AG vs. AG</w:t>
            </w:r>
          </w:p>
        </w:tc>
        <w:tc>
          <w:tcPr>
            <w:tcW w:w="2340" w:type="dxa"/>
            <w:vAlign w:val="bottom"/>
          </w:tcPr>
          <w:p w:rsidR="00403B14" w:rsidRDefault="00403B14" w:rsidP="003C66C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5.21</w:t>
            </w:r>
          </w:p>
        </w:tc>
        <w:tc>
          <w:tcPr>
            <w:tcW w:w="2250" w:type="dxa"/>
            <w:vAlign w:val="bottom"/>
          </w:tcPr>
          <w:p w:rsidR="00403B14" w:rsidRDefault="00403B14" w:rsidP="003C66C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4.99</w:t>
            </w:r>
          </w:p>
        </w:tc>
        <w:tc>
          <w:tcPr>
            <w:tcW w:w="2160" w:type="dxa"/>
            <w:vAlign w:val="bottom"/>
          </w:tcPr>
          <w:p w:rsidR="00403B14" w:rsidRDefault="00403B14" w:rsidP="003C66C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1.04</w:t>
            </w:r>
          </w:p>
        </w:tc>
        <w:tc>
          <w:tcPr>
            <w:tcW w:w="1350" w:type="dxa"/>
          </w:tcPr>
          <w:p w:rsidR="00403B14" w:rsidRDefault="00403B14" w:rsidP="003C66C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24.0%</w:t>
            </w:r>
          </w:p>
        </w:tc>
      </w:tr>
      <w:tr w:rsidR="00403B14" w:rsidTr="009E39F9">
        <w:trPr>
          <w:trHeight w:val="155"/>
        </w:trPr>
        <w:tc>
          <w:tcPr>
            <w:cnfStyle w:val="001000000000" w:firstRow="0" w:lastRow="0" w:firstColumn="1" w:lastColumn="0" w:oddVBand="0" w:evenVBand="0" w:oddHBand="0" w:evenHBand="0" w:firstRowFirstColumn="0" w:firstRowLastColumn="0" w:lastRowFirstColumn="0" w:lastRowLastColumn="0"/>
            <w:tcW w:w="1260" w:type="dxa"/>
          </w:tcPr>
          <w:p w:rsidR="00403B14" w:rsidRDefault="00403B14" w:rsidP="003C66C4">
            <w:pPr>
              <w:spacing w:line="360" w:lineRule="auto"/>
              <w:jc w:val="center"/>
              <w:rPr>
                <w:rFonts w:ascii="Calibri" w:hAnsi="Calibri" w:cs="Calibri"/>
                <w:color w:val="000000"/>
              </w:rPr>
            </w:pPr>
            <w:r>
              <w:rPr>
                <w:rFonts w:ascii="Calibri" w:hAnsi="Calibri" w:cs="Calibri"/>
                <w:color w:val="000000"/>
              </w:rPr>
              <w:t>AG vs. Pro</w:t>
            </w:r>
          </w:p>
        </w:tc>
        <w:tc>
          <w:tcPr>
            <w:tcW w:w="2340" w:type="dxa"/>
            <w:vAlign w:val="bottom"/>
          </w:tcPr>
          <w:p w:rsidR="00403B14" w:rsidRDefault="00403B14" w:rsidP="003C66C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4.32</w:t>
            </w:r>
          </w:p>
        </w:tc>
        <w:tc>
          <w:tcPr>
            <w:tcW w:w="2250" w:type="dxa"/>
            <w:vAlign w:val="bottom"/>
          </w:tcPr>
          <w:p w:rsidR="00403B14" w:rsidRDefault="00403B14" w:rsidP="003C66C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4.44</w:t>
            </w:r>
          </w:p>
        </w:tc>
        <w:tc>
          <w:tcPr>
            <w:tcW w:w="2160" w:type="dxa"/>
            <w:vAlign w:val="bottom"/>
          </w:tcPr>
          <w:p w:rsidR="00403B14" w:rsidRDefault="00403B14" w:rsidP="003C66C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0.97</w:t>
            </w:r>
          </w:p>
        </w:tc>
        <w:tc>
          <w:tcPr>
            <w:tcW w:w="1350" w:type="dxa"/>
          </w:tcPr>
          <w:p w:rsidR="00403B14" w:rsidRDefault="00403B14" w:rsidP="003C66C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48.0%</w:t>
            </w:r>
          </w:p>
        </w:tc>
      </w:tr>
      <w:tr w:rsidR="00403B14" w:rsidTr="009E39F9">
        <w:trPr>
          <w:trHeight w:val="155"/>
        </w:trPr>
        <w:tc>
          <w:tcPr>
            <w:cnfStyle w:val="001000000000" w:firstRow="0" w:lastRow="0" w:firstColumn="1" w:lastColumn="0" w:oddVBand="0" w:evenVBand="0" w:oddHBand="0" w:evenHBand="0" w:firstRowFirstColumn="0" w:firstRowLastColumn="0" w:lastRowFirstColumn="0" w:lastRowLastColumn="0"/>
            <w:tcW w:w="1260" w:type="dxa"/>
          </w:tcPr>
          <w:p w:rsidR="00403B14" w:rsidRDefault="00403B14" w:rsidP="003C66C4">
            <w:pPr>
              <w:spacing w:line="360" w:lineRule="auto"/>
              <w:jc w:val="center"/>
              <w:rPr>
                <w:rFonts w:ascii="Calibri" w:hAnsi="Calibri" w:cs="Calibri"/>
                <w:color w:val="000000"/>
              </w:rPr>
            </w:pPr>
            <w:r>
              <w:rPr>
                <w:rFonts w:ascii="Calibri" w:hAnsi="Calibri" w:cs="Calibri"/>
                <w:color w:val="000000"/>
              </w:rPr>
              <w:t>Pro vs. Pro</w:t>
            </w:r>
          </w:p>
        </w:tc>
        <w:tc>
          <w:tcPr>
            <w:tcW w:w="2340" w:type="dxa"/>
            <w:vAlign w:val="bottom"/>
          </w:tcPr>
          <w:p w:rsidR="00403B14" w:rsidRDefault="00403B14" w:rsidP="003C66C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4.37</w:t>
            </w:r>
          </w:p>
        </w:tc>
        <w:tc>
          <w:tcPr>
            <w:tcW w:w="2250" w:type="dxa"/>
            <w:vAlign w:val="bottom"/>
          </w:tcPr>
          <w:p w:rsidR="00403B14" w:rsidRDefault="00403B14" w:rsidP="003C66C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4.30</w:t>
            </w:r>
          </w:p>
        </w:tc>
        <w:tc>
          <w:tcPr>
            <w:tcW w:w="2160" w:type="dxa"/>
            <w:vAlign w:val="bottom"/>
          </w:tcPr>
          <w:p w:rsidR="00403B14" w:rsidRDefault="00403B14" w:rsidP="003C66C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1.02</w:t>
            </w:r>
          </w:p>
        </w:tc>
        <w:tc>
          <w:tcPr>
            <w:tcW w:w="1350" w:type="dxa"/>
          </w:tcPr>
          <w:p w:rsidR="00403B14" w:rsidRDefault="00403B14" w:rsidP="003C66C4">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50.7%</w:t>
            </w:r>
          </w:p>
        </w:tc>
      </w:tr>
    </w:tbl>
    <w:p w:rsidR="00DD0000" w:rsidRDefault="00DD0000" w:rsidP="00DD0000">
      <w:pPr>
        <w:spacing w:after="240" w:line="360" w:lineRule="auto"/>
        <w:jc w:val="center"/>
      </w:pPr>
    </w:p>
    <w:p w:rsidR="008D554B" w:rsidRDefault="008D554B" w:rsidP="00236F63">
      <w:pPr>
        <w:spacing w:after="240" w:line="360" w:lineRule="auto"/>
        <w:jc w:val="both"/>
      </w:pPr>
      <w:r>
        <w:t xml:space="preserve">We find the average distance of move pairs Black to White, White to Black for one game, and then take the mean of average distance across all games in the three categories. Intuitively, the average distance between first a Black move and then a White move measures White’s responsiveness to Black’s moves, and vice versa. Also, the higher the raw value of </w:t>
      </w:r>
      <w:r w:rsidR="00543D38">
        <w:t>average distance, the less responsive the second player is to the first player’s move.</w:t>
      </w:r>
    </w:p>
    <w:p w:rsidR="00543D38" w:rsidRDefault="00543D38" w:rsidP="00236F63">
      <w:pPr>
        <w:spacing w:after="240" w:line="360" w:lineRule="auto"/>
        <w:jc w:val="both"/>
      </w:pPr>
      <w:r>
        <w:t>In addition, we calculate</w:t>
      </w:r>
      <w:r w:rsidR="00236F63">
        <w:t xml:space="preserve"> a responsiveness ratio by taking the average distance of BW (responsiveness of White to Black) over the average distance of WB (responsiveness of Black to White). At a neutral value of 1, </w:t>
      </w:r>
      <w:r w:rsidR="00CF0B94">
        <w:t>each player is equally responsive to the other</w:t>
      </w:r>
      <w:r w:rsidR="00236F63">
        <w:t xml:space="preserve">. Values </w:t>
      </w:r>
      <m:oMath>
        <m:r>
          <w:rPr>
            <w:rFonts w:ascii="Cambria Math" w:hAnsi="Cambria Math"/>
          </w:rPr>
          <m:t>&gt;1</m:t>
        </m:r>
      </m:oMath>
      <w:r w:rsidR="00236F63">
        <w:t xml:space="preserve"> signal </w:t>
      </w:r>
      <w:r w:rsidR="00CF0B94">
        <w:t xml:space="preserve">White initiative, since White is less responsiveness to Black moves than Black is to White. Similarly, values </w:t>
      </w:r>
      <m:oMath>
        <m:r>
          <w:rPr>
            <w:rFonts w:ascii="Cambria Math" w:hAnsi="Cambria Math"/>
          </w:rPr>
          <m:t>&lt;1</m:t>
        </m:r>
      </m:oMath>
      <w:r w:rsidR="00CF0B94">
        <w:t xml:space="preserve"> indicate Black initiative.</w:t>
      </w:r>
    </w:p>
    <w:p w:rsidR="00543D38" w:rsidRDefault="00543D38" w:rsidP="00236F63">
      <w:pPr>
        <w:spacing w:after="240" w:line="360" w:lineRule="auto"/>
        <w:jc w:val="both"/>
      </w:pPr>
      <w:r>
        <w:t>From the table above,</w:t>
      </w:r>
      <w:r w:rsidR="00694B51">
        <w:t xml:space="preserve"> both AI players in AG vs. AG games record a lower average responsiveness to each other than players in AG vs. Pro or Pro vs. Pro games</w:t>
      </w:r>
      <w:r w:rsidR="00236F63">
        <w:t>. There appears to be no direct link between average responsiveness and the responsiveness ratio or win-rate across categories.</w:t>
      </w:r>
    </w:p>
    <w:p w:rsidR="00602248" w:rsidRDefault="00675CEB" w:rsidP="00DD0000">
      <w:pPr>
        <w:spacing w:before="120" w:after="240" w:line="360" w:lineRule="auto"/>
        <w:jc w:val="center"/>
      </w:pPr>
      <w:r>
        <w:rPr>
          <w:noProof/>
        </w:rPr>
        <w:lastRenderedPageBreak/>
        <w:drawing>
          <wp:inline distT="0" distB="0" distL="0" distR="0">
            <wp:extent cx="5895395" cy="3691467"/>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1171" cy="3701346"/>
                    </a:xfrm>
                    <a:prstGeom prst="rect">
                      <a:avLst/>
                    </a:prstGeom>
                    <a:noFill/>
                    <a:ln>
                      <a:noFill/>
                    </a:ln>
                  </pic:spPr>
                </pic:pic>
              </a:graphicData>
            </a:graphic>
          </wp:inline>
        </w:drawing>
      </w:r>
    </w:p>
    <w:p w:rsidR="00720056" w:rsidRDefault="00720056" w:rsidP="008E78A9">
      <w:pPr>
        <w:spacing w:before="120" w:after="240" w:line="360" w:lineRule="auto"/>
        <w:jc w:val="center"/>
      </w:pPr>
    </w:p>
    <w:p w:rsidR="0040212D" w:rsidRDefault="000B20CC" w:rsidP="008E78A9">
      <w:pPr>
        <w:spacing w:before="120" w:after="240" w:line="360" w:lineRule="auto"/>
        <w:jc w:val="center"/>
      </w:pPr>
      <w:r>
        <w:rPr>
          <w:noProof/>
        </w:rPr>
        <w:drawing>
          <wp:inline distT="0" distB="0" distL="0" distR="0">
            <wp:extent cx="5943600" cy="3721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21650"/>
                    </a:xfrm>
                    <a:prstGeom prst="rect">
                      <a:avLst/>
                    </a:prstGeom>
                    <a:noFill/>
                    <a:ln>
                      <a:noFill/>
                    </a:ln>
                  </pic:spPr>
                </pic:pic>
              </a:graphicData>
            </a:graphic>
          </wp:inline>
        </w:drawing>
      </w:r>
    </w:p>
    <w:p w:rsidR="002D1C3B" w:rsidRDefault="001132EC" w:rsidP="004905B7">
      <w:pPr>
        <w:spacing w:before="120" w:after="240" w:line="360" w:lineRule="auto"/>
        <w:jc w:val="both"/>
      </w:pPr>
      <w:r>
        <w:lastRenderedPageBreak/>
        <w:t xml:space="preserve">Graphing the average Euclidean distance of different colored move pairs against each other by game results in a broad spread of points, irrespective of category. There is no apparent clustering or correlation, and running a linear regression as in the previous section yields a very low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=0.234</m:t>
        </m:r>
      </m:oMath>
      <w:r>
        <w:t>. Further analysis will be needed to determine correlation details and underlying factors, confounding and otherwise.</w:t>
      </w:r>
    </w:p>
    <w:p w:rsidR="0040212D" w:rsidRDefault="0040212D" w:rsidP="004905B7">
      <w:pPr>
        <w:pStyle w:val="Heading1"/>
        <w:spacing w:before="120" w:after="240" w:line="360" w:lineRule="auto"/>
        <w:jc w:val="both"/>
      </w:pPr>
      <w:bookmarkStart w:id="19" w:name="_Toc499993216"/>
      <w:r>
        <w:t>6. Conclusion</w:t>
      </w:r>
      <w:bookmarkEnd w:id="19"/>
    </w:p>
    <w:p w:rsidR="0040212D" w:rsidRDefault="0040212D" w:rsidP="004905B7">
      <w:pPr>
        <w:pStyle w:val="Heading2"/>
        <w:spacing w:before="120" w:after="240" w:line="360" w:lineRule="auto"/>
        <w:jc w:val="both"/>
      </w:pPr>
      <w:bookmarkStart w:id="20" w:name="_Toc499993217"/>
      <w:r>
        <w:t>6.1. Summary</w:t>
      </w:r>
      <w:bookmarkEnd w:id="20"/>
    </w:p>
    <w:p w:rsidR="00EC7B76" w:rsidRDefault="003D3CAD" w:rsidP="004905B7">
      <w:pPr>
        <w:spacing w:before="120" w:after="240" w:line="360" w:lineRule="auto"/>
        <w:jc w:val="both"/>
      </w:pPr>
      <w:r>
        <w:t>In 5</w:t>
      </w:r>
      <w:r w:rsidR="00935B32">
        <w:t>.1.</w:t>
      </w:r>
      <w:r>
        <w:t xml:space="preserve">, </w:t>
      </w:r>
      <w:r w:rsidR="00817F59">
        <w:t>the data demonstrates</w:t>
      </w:r>
      <w:r>
        <w:t xml:space="preserve"> that the current rules of Go are adequate for human vs. human games at the professional level, but results in an “unfair” situation for games in which AlphaGo plays itself</w:t>
      </w:r>
      <w:r w:rsidR="00B022B0">
        <w:t xml:space="preserve">. Furthermore, </w:t>
      </w:r>
      <w:r w:rsidR="00935B32">
        <w:t xml:space="preserve">5.2. reveals </w:t>
      </w:r>
      <w:r w:rsidR="00B022B0">
        <w:t xml:space="preserve">a strong positive correlation </w:t>
      </w:r>
      <w:r>
        <w:t>between the individual tempo of both players within a game, using Euclidean distance between moves as a measure of tempo.</w:t>
      </w:r>
    </w:p>
    <w:p w:rsidR="00143260" w:rsidRDefault="003D3CAD" w:rsidP="004905B7">
      <w:pPr>
        <w:spacing w:before="120" w:after="240" w:line="360" w:lineRule="auto"/>
        <w:jc w:val="both"/>
      </w:pPr>
      <w:r>
        <w:t>Overall, the</w:t>
      </w:r>
      <w:r w:rsidR="00817F59">
        <w:t xml:space="preserve"> implications are profound: by win-rate analysis, AlphaGo appears to be better at playing Go than professional-level players around the world, and, contrary to convention and intuition, has a higher winning probability as the second-move player. By taking </w:t>
      </w:r>
      <w:r w:rsidR="00143260">
        <w:t>the first</w:t>
      </w:r>
      <w:r w:rsidR="00817F59">
        <w:t xml:space="preserve"> assumption as reasonable and combining it with gameplay analysis in terms of individual tempo and game tempo, we can conclude that humans appear to play a style which is too slow, restricted, and responsive compared to the optimal, or, at least, a more effective method of playing. On a more positive note, some general Go conventions appear to be supported by AlphaGo’s playstyle, e.g. the hypothesis that “light” playing is a good strategy.</w:t>
      </w:r>
      <w:r w:rsidR="00143260">
        <w:t xml:space="preserve"> Lastly, comparisons of responsiveness between Black and White and across matchups show no clear trends, and will require more in-depth exploration.</w:t>
      </w:r>
    </w:p>
    <w:p w:rsidR="00EC7B76" w:rsidRPr="00EC7B76" w:rsidRDefault="00EC7B76" w:rsidP="004905B7">
      <w:pPr>
        <w:pStyle w:val="Heading2"/>
        <w:spacing w:before="120" w:after="240" w:line="360" w:lineRule="auto"/>
        <w:jc w:val="both"/>
      </w:pPr>
      <w:bookmarkStart w:id="21" w:name="_Toc499993218"/>
      <w:r>
        <w:t>6.2. Limitations</w:t>
      </w:r>
      <w:bookmarkEnd w:id="21"/>
    </w:p>
    <w:p w:rsidR="0040212D" w:rsidRDefault="00FA0D50" w:rsidP="004905B7">
      <w:pPr>
        <w:spacing w:before="120" w:after="240" w:line="360" w:lineRule="auto"/>
        <w:jc w:val="both"/>
      </w:pPr>
      <w:r>
        <w:rPr>
          <w:i/>
        </w:rPr>
        <w:t>Author’s Note: t</w:t>
      </w:r>
      <w:r w:rsidRPr="00EC7B76">
        <w:rPr>
          <w:i/>
        </w:rPr>
        <w:t>o be updated. Please contact the author directly for more information</w:t>
      </w:r>
      <w:r>
        <w:rPr>
          <w:i/>
        </w:rPr>
        <w:t xml:space="preserve"> (12/1/17)</w:t>
      </w:r>
      <w:r w:rsidRPr="00EC7B76">
        <w:rPr>
          <w:i/>
        </w:rPr>
        <w:t>.</w:t>
      </w:r>
    </w:p>
    <w:p w:rsidR="0040212D" w:rsidRDefault="0040212D" w:rsidP="004905B7">
      <w:pPr>
        <w:pStyle w:val="Heading2"/>
        <w:spacing w:before="120" w:after="240" w:line="360" w:lineRule="auto"/>
        <w:jc w:val="both"/>
      </w:pPr>
      <w:bookmarkStart w:id="22" w:name="_Toc499993219"/>
      <w:r>
        <w:t>6.</w:t>
      </w:r>
      <w:r w:rsidR="00EC7B76">
        <w:t>3</w:t>
      </w:r>
      <w:r>
        <w:t>. Further Exploration</w:t>
      </w:r>
      <w:bookmarkEnd w:id="22"/>
    </w:p>
    <w:p w:rsidR="00D8716F" w:rsidRPr="00F86BF9" w:rsidRDefault="00F86BF9" w:rsidP="004905B7">
      <w:pPr>
        <w:spacing w:before="120" w:after="240" w:line="360" w:lineRule="auto"/>
        <w:jc w:val="both"/>
        <w:rPr>
          <w:i/>
        </w:rPr>
      </w:pPr>
      <w:r>
        <w:rPr>
          <w:i/>
        </w:rPr>
        <w:t>Author’s Note: t</w:t>
      </w:r>
      <w:r w:rsidRPr="00EC7B76">
        <w:rPr>
          <w:i/>
        </w:rPr>
        <w:t>o be updated. Please contact the author directly for more information</w:t>
      </w:r>
      <w:r>
        <w:rPr>
          <w:i/>
        </w:rPr>
        <w:t xml:space="preserve"> (12/1/17)</w:t>
      </w:r>
      <w:r w:rsidRPr="00EC7B76">
        <w:rPr>
          <w:i/>
        </w:rPr>
        <w:t>.</w:t>
      </w:r>
    </w:p>
    <w:p w:rsidR="00D8716F" w:rsidRDefault="00D8716F">
      <w:r>
        <w:br w:type="page"/>
      </w:r>
    </w:p>
    <w:p w:rsidR="0040212D" w:rsidRDefault="0040212D" w:rsidP="004905B7">
      <w:pPr>
        <w:pStyle w:val="Heading1"/>
        <w:spacing w:before="120" w:after="240" w:line="360" w:lineRule="auto"/>
        <w:jc w:val="both"/>
      </w:pPr>
      <w:bookmarkStart w:id="23" w:name="_Toc499993220"/>
      <w:r>
        <w:lastRenderedPageBreak/>
        <w:t>7. Works Cited</w:t>
      </w:r>
      <w:bookmarkEnd w:id="23"/>
    </w:p>
    <w:p w:rsidR="006E3474" w:rsidRDefault="006E3474" w:rsidP="00374DE7">
      <w:pPr>
        <w:spacing w:before="120" w:after="240" w:line="360" w:lineRule="auto"/>
        <w:ind w:left="720" w:hanging="720"/>
        <w:rPr>
          <w:rFonts w:cstheme="minorHAnsi"/>
        </w:rPr>
      </w:pPr>
      <w:r w:rsidRPr="00815842">
        <w:rPr>
          <w:rFonts w:cstheme="minorHAnsi"/>
        </w:rPr>
        <w:t xml:space="preserve">“About the European Go Federation.” European Go Federation, European Go Federation (EGF), 2017, </w:t>
      </w:r>
      <w:hyperlink r:id="rId15" w:history="1">
        <w:r w:rsidRPr="005204DA">
          <w:rPr>
            <w:rStyle w:val="Hyperlink"/>
            <w:rFonts w:cstheme="minorHAnsi"/>
          </w:rPr>
          <w:t>www.eurogofed.org/about/</w:t>
        </w:r>
      </w:hyperlink>
      <w:r w:rsidRPr="00815842">
        <w:rPr>
          <w:rFonts w:cstheme="minorHAnsi"/>
        </w:rPr>
        <w:t>.</w:t>
      </w:r>
    </w:p>
    <w:p w:rsidR="006E3474" w:rsidRDefault="006E3474" w:rsidP="00374DE7">
      <w:pPr>
        <w:spacing w:before="120" w:after="240" w:line="360" w:lineRule="auto"/>
        <w:ind w:left="720" w:hanging="720"/>
        <w:rPr>
          <w:rFonts w:cstheme="minorHAnsi"/>
        </w:rPr>
      </w:pPr>
      <w:r w:rsidRPr="00815842">
        <w:rPr>
          <w:rFonts w:cstheme="minorHAnsi"/>
        </w:rPr>
        <w:t xml:space="preserve">“American Go Association.” American Go Association, American Go Association (AGA), 2017, </w:t>
      </w:r>
      <w:hyperlink r:id="rId16" w:history="1">
        <w:r w:rsidRPr="005204DA">
          <w:rPr>
            <w:rStyle w:val="Hyperlink"/>
            <w:rFonts w:cstheme="minorHAnsi"/>
          </w:rPr>
          <w:t>www.usgo.org/</w:t>
        </w:r>
      </w:hyperlink>
      <w:r w:rsidRPr="00815842">
        <w:rPr>
          <w:rFonts w:cstheme="minorHAnsi"/>
        </w:rPr>
        <w:t>.</w:t>
      </w:r>
    </w:p>
    <w:p w:rsidR="006E3474" w:rsidRDefault="006E3474" w:rsidP="00374DE7">
      <w:pPr>
        <w:spacing w:before="120" w:after="240" w:line="360" w:lineRule="auto"/>
        <w:ind w:left="720" w:hanging="720"/>
        <w:rPr>
          <w:rFonts w:cstheme="minorHAnsi"/>
        </w:rPr>
      </w:pPr>
      <w:r w:rsidRPr="00037834">
        <w:rPr>
          <w:rFonts w:cstheme="minorHAnsi"/>
        </w:rPr>
        <w:t xml:space="preserve">Byford, Sam. “Why Google's Go Win Is Such a Big Deal.” The Verge, Vox Media, 9 Mar. 2016, </w:t>
      </w:r>
      <w:hyperlink r:id="rId17" w:history="1">
        <w:r w:rsidRPr="005204DA">
          <w:rPr>
            <w:rStyle w:val="Hyperlink"/>
            <w:rFonts w:cstheme="minorHAnsi"/>
          </w:rPr>
          <w:t>www.theverge.com/2016/3/9/11185030/google-deepmind-alphago-go-artificial-intelligence-impact</w:t>
        </w:r>
      </w:hyperlink>
      <w:r w:rsidRPr="00037834">
        <w:rPr>
          <w:rFonts w:cstheme="minorHAnsi"/>
        </w:rPr>
        <w:t>.</w:t>
      </w:r>
    </w:p>
    <w:p w:rsidR="006E3474" w:rsidRDefault="006E3474" w:rsidP="00374DE7">
      <w:pPr>
        <w:spacing w:before="120" w:after="240" w:line="360" w:lineRule="auto"/>
        <w:ind w:left="720" w:hanging="720"/>
        <w:rPr>
          <w:rFonts w:cstheme="minorHAnsi"/>
        </w:rPr>
      </w:pPr>
      <w:r w:rsidRPr="00C07DEF">
        <w:t xml:space="preserve">Chan, Dawn. “The AI That Has Nothing to Learn </w:t>
      </w:r>
      <w:proofErr w:type="gramStart"/>
      <w:r w:rsidRPr="00C07DEF">
        <w:t>From</w:t>
      </w:r>
      <w:proofErr w:type="gramEnd"/>
      <w:r w:rsidRPr="00C07DEF">
        <w:t xml:space="preserve"> Humans.” The Atlantic, Atlantic Media Company, 20 Oct. 2017, www.theatlantic.com/technology/archive/2017/10/alphago-zero-the-ai-that-taught-itself-go/543450/.</w:t>
      </w:r>
    </w:p>
    <w:p w:rsidR="006E3474" w:rsidRDefault="006E3474" w:rsidP="00374DE7">
      <w:pPr>
        <w:spacing w:before="120" w:after="240" w:line="360" w:lineRule="auto"/>
        <w:ind w:left="720" w:hanging="720"/>
        <w:rPr>
          <w:rFonts w:cstheme="minorHAnsi"/>
          <w:color w:val="000000"/>
        </w:rPr>
      </w:pPr>
      <w:r w:rsidRPr="00A5601A">
        <w:rPr>
          <w:rFonts w:cstheme="minorHAnsi"/>
          <w:i/>
          <w:iCs/>
          <w:color w:val="000000"/>
        </w:rPr>
        <w:t>DeepMind</w:t>
      </w:r>
      <w:r w:rsidRPr="00A5601A">
        <w:rPr>
          <w:rFonts w:cstheme="minorHAnsi"/>
          <w:color w:val="000000"/>
        </w:rPr>
        <w:t>, DeepMind Technologies Limited, 2017, deepmind.com/.</w:t>
      </w:r>
    </w:p>
    <w:p w:rsidR="006E3474" w:rsidRDefault="006E3474" w:rsidP="00374DE7">
      <w:pPr>
        <w:spacing w:before="120" w:after="240" w:line="360" w:lineRule="auto"/>
        <w:ind w:left="720" w:hanging="720"/>
        <w:rPr>
          <w:rFonts w:cstheme="minorHAnsi"/>
          <w:color w:val="000000"/>
        </w:rPr>
      </w:pPr>
      <w:r w:rsidRPr="00037834">
        <w:rPr>
          <w:rFonts w:cstheme="minorHAnsi"/>
        </w:rPr>
        <w:t xml:space="preserve">Hassabis, </w:t>
      </w:r>
      <w:proofErr w:type="spellStart"/>
      <w:r w:rsidRPr="00037834">
        <w:rPr>
          <w:rFonts w:cstheme="minorHAnsi"/>
        </w:rPr>
        <w:t>Demis</w:t>
      </w:r>
      <w:proofErr w:type="spellEnd"/>
      <w:r w:rsidRPr="00037834">
        <w:rPr>
          <w:rFonts w:cstheme="minorHAnsi"/>
        </w:rPr>
        <w:t xml:space="preserve">. “AlphaGo: Using Machine Learning to Master the Ancient Game of Go.” Google, Google, 27 Jan. 2016, </w:t>
      </w:r>
      <w:proofErr w:type="gramStart"/>
      <w:r w:rsidRPr="00037834">
        <w:rPr>
          <w:rFonts w:cstheme="minorHAnsi"/>
        </w:rPr>
        <w:t>blog.google</w:t>
      </w:r>
      <w:proofErr w:type="gramEnd"/>
      <w:r w:rsidRPr="00037834">
        <w:rPr>
          <w:rFonts w:cstheme="minorHAnsi"/>
        </w:rPr>
        <w:t>/topics/machine-learning/alphago-machine-learning-game-go/.</w:t>
      </w:r>
    </w:p>
    <w:p w:rsidR="006E3474" w:rsidRDefault="006E3474" w:rsidP="00374DE7">
      <w:pPr>
        <w:spacing w:before="120" w:after="240" w:line="360" w:lineRule="auto"/>
        <w:ind w:left="720" w:hanging="720"/>
        <w:rPr>
          <w:rFonts w:cstheme="minorHAnsi"/>
        </w:rPr>
      </w:pPr>
      <w:proofErr w:type="spellStart"/>
      <w:r w:rsidRPr="00815842">
        <w:rPr>
          <w:rFonts w:cstheme="minorHAnsi"/>
        </w:rPr>
        <w:t>Hollosi</w:t>
      </w:r>
      <w:proofErr w:type="spellEnd"/>
      <w:r w:rsidRPr="00815842">
        <w:rPr>
          <w:rFonts w:cstheme="minorHAnsi"/>
        </w:rPr>
        <w:t xml:space="preserve">, Arno, and Morten </w:t>
      </w:r>
      <w:proofErr w:type="spellStart"/>
      <w:r w:rsidRPr="00815842">
        <w:rPr>
          <w:rFonts w:cstheme="minorHAnsi"/>
        </w:rPr>
        <w:t>Pahle</w:t>
      </w:r>
      <w:proofErr w:type="spellEnd"/>
      <w:r w:rsidRPr="00815842">
        <w:rPr>
          <w:rFonts w:cstheme="minorHAnsi"/>
        </w:rPr>
        <w:t>. “Number of Possible Go Games.” Sensei's Library, Sensei's Library (SL), 24 Mar. 2016, senseis.xmp.net</w:t>
      </w:r>
      <w:proofErr w:type="gramStart"/>
      <w:r w:rsidRPr="00815842">
        <w:rPr>
          <w:rFonts w:cstheme="minorHAnsi"/>
        </w:rPr>
        <w:t>/?</w:t>
      </w:r>
      <w:proofErr w:type="spellStart"/>
      <w:r w:rsidRPr="00815842">
        <w:rPr>
          <w:rFonts w:cstheme="minorHAnsi"/>
        </w:rPr>
        <w:t>NumberOfPossibleGoGames</w:t>
      </w:r>
      <w:proofErr w:type="spellEnd"/>
      <w:proofErr w:type="gramEnd"/>
      <w:r w:rsidRPr="00815842">
        <w:rPr>
          <w:rFonts w:cstheme="minorHAnsi"/>
        </w:rPr>
        <w:t>.</w:t>
      </w:r>
    </w:p>
    <w:p w:rsidR="006E3474" w:rsidRDefault="006E3474" w:rsidP="00374DE7">
      <w:pPr>
        <w:spacing w:before="120" w:after="240" w:line="360" w:lineRule="auto"/>
        <w:ind w:left="720" w:hanging="720"/>
        <w:rPr>
          <w:rFonts w:cstheme="minorHAnsi"/>
        </w:rPr>
      </w:pPr>
      <w:r w:rsidRPr="00037834">
        <w:rPr>
          <w:rFonts w:cstheme="minorHAnsi"/>
        </w:rPr>
        <w:t>“Monte Carlo Tree Search.” Wikipedia, Wikimedia Foundation, 19 Nov. 2017, en.wikipedia.org/wiki/</w:t>
      </w:r>
      <w:proofErr w:type="spellStart"/>
      <w:r w:rsidRPr="00037834">
        <w:rPr>
          <w:rFonts w:cstheme="minorHAnsi"/>
        </w:rPr>
        <w:t>Monte_Carlo_tree_search</w:t>
      </w:r>
      <w:proofErr w:type="spellEnd"/>
      <w:r w:rsidRPr="00037834">
        <w:rPr>
          <w:rFonts w:cstheme="minorHAnsi"/>
        </w:rPr>
        <w:t>.</w:t>
      </w:r>
    </w:p>
    <w:p w:rsidR="006E3474" w:rsidRDefault="006E3474" w:rsidP="00374DE7">
      <w:pPr>
        <w:spacing w:before="120" w:after="240" w:line="360" w:lineRule="auto"/>
        <w:ind w:left="720" w:hanging="720"/>
        <w:rPr>
          <w:rFonts w:cstheme="minorHAnsi"/>
        </w:rPr>
      </w:pPr>
      <w:r w:rsidRPr="00815842">
        <w:rPr>
          <w:rFonts w:cstheme="minorHAnsi"/>
        </w:rPr>
        <w:t xml:space="preserve">“The Ancient Chinese Game of Go.” China.org.cn, China Internet Information Center, 7 June 2005, </w:t>
      </w:r>
      <w:hyperlink r:id="rId18" w:history="1">
        <w:r w:rsidRPr="005204DA">
          <w:rPr>
            <w:rStyle w:val="Hyperlink"/>
            <w:rFonts w:cstheme="minorHAnsi"/>
          </w:rPr>
          <w:t>www.china.org.cn/english/features/Archaeology/131298.htm</w:t>
        </w:r>
      </w:hyperlink>
      <w:r w:rsidRPr="00815842">
        <w:rPr>
          <w:rFonts w:cstheme="minorHAnsi"/>
        </w:rPr>
        <w:t>.</w:t>
      </w:r>
    </w:p>
    <w:p w:rsidR="00D8716F" w:rsidRDefault="006E3474" w:rsidP="00374DE7">
      <w:pPr>
        <w:spacing w:before="120" w:after="240" w:line="360" w:lineRule="auto"/>
        <w:ind w:left="720" w:hanging="720"/>
        <w:rPr>
          <w:rFonts w:cstheme="minorHAnsi"/>
        </w:rPr>
      </w:pPr>
      <w:r w:rsidRPr="00037834">
        <w:rPr>
          <w:rFonts w:cstheme="minorHAnsi"/>
        </w:rPr>
        <w:t>Silver, David, et al. “Mastering the Game of Go with Deep Neural Networks and Tree Search.” Nature, 2016, doi:10.1038/nature16961.</w:t>
      </w:r>
    </w:p>
    <w:p w:rsidR="00D8716F" w:rsidRDefault="00D8716F" w:rsidP="004905B7">
      <w:pPr>
        <w:jc w:val="both"/>
        <w:rPr>
          <w:rFonts w:cstheme="minorHAnsi"/>
        </w:rPr>
      </w:pPr>
      <w:r>
        <w:rPr>
          <w:rFonts w:cstheme="minorHAnsi"/>
        </w:rPr>
        <w:br w:type="page"/>
      </w:r>
    </w:p>
    <w:p w:rsidR="0040212D" w:rsidRDefault="0040212D" w:rsidP="004905B7">
      <w:pPr>
        <w:pStyle w:val="Heading1"/>
        <w:spacing w:before="120" w:after="240" w:line="360" w:lineRule="auto"/>
        <w:jc w:val="both"/>
      </w:pPr>
      <w:bookmarkStart w:id="24" w:name="_Toc499993221"/>
      <w:r>
        <w:lastRenderedPageBreak/>
        <w:t>8. Appendix</w:t>
      </w:r>
      <w:bookmarkEnd w:id="24"/>
    </w:p>
    <w:p w:rsidR="007D4224" w:rsidRPr="007D4224" w:rsidRDefault="0040212D" w:rsidP="004905B7">
      <w:pPr>
        <w:pStyle w:val="Heading2"/>
        <w:spacing w:before="120" w:after="240" w:line="360" w:lineRule="auto"/>
        <w:jc w:val="both"/>
      </w:pPr>
      <w:bookmarkStart w:id="25" w:name="_Toc499993222"/>
      <w:r>
        <w:t>8.1. Data Tables</w:t>
      </w:r>
      <w:bookmarkEnd w:id="25"/>
    </w:p>
    <w:tbl>
      <w:tblPr>
        <w:tblStyle w:val="GridTable1Light-Accent5"/>
        <w:tblpPr w:leftFromText="180" w:rightFromText="180" w:vertAnchor="page" w:horzAnchor="margin" w:tblpY="3091"/>
        <w:tblW w:w="9355" w:type="dxa"/>
        <w:tblLook w:val="04A0" w:firstRow="1" w:lastRow="0" w:firstColumn="1" w:lastColumn="0" w:noHBand="0" w:noVBand="1"/>
      </w:tblPr>
      <w:tblGrid>
        <w:gridCol w:w="2245"/>
        <w:gridCol w:w="1170"/>
        <w:gridCol w:w="1260"/>
        <w:gridCol w:w="1080"/>
        <w:gridCol w:w="1170"/>
        <w:gridCol w:w="1350"/>
        <w:gridCol w:w="1080"/>
      </w:tblGrid>
      <w:tr w:rsidR="00A92358" w:rsidRPr="009B1169" w:rsidTr="00A92358">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245" w:type="dxa"/>
            <w:noWrap/>
          </w:tcPr>
          <w:p w:rsidR="00A92358" w:rsidRDefault="00A92358" w:rsidP="004905B7">
            <w:pPr>
              <w:spacing w:line="360" w:lineRule="auto"/>
              <w:jc w:val="both"/>
            </w:pPr>
          </w:p>
        </w:tc>
        <w:tc>
          <w:tcPr>
            <w:tcW w:w="4680" w:type="dxa"/>
            <w:gridSpan w:val="4"/>
            <w:noWrap/>
          </w:tcPr>
          <w:p w:rsidR="00A92358" w:rsidRDefault="00A92358" w:rsidP="004905B7">
            <w:pPr>
              <w:spacing w:line="360" w:lineRule="auto"/>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Number of Wins</w:t>
            </w:r>
          </w:p>
        </w:tc>
        <w:tc>
          <w:tcPr>
            <w:tcW w:w="2430" w:type="dxa"/>
            <w:gridSpan w:val="2"/>
            <w:noWrap/>
          </w:tcPr>
          <w:p w:rsidR="00A92358" w:rsidRPr="009B1169" w:rsidRDefault="00A92358" w:rsidP="004905B7">
            <w:pPr>
              <w:spacing w:line="360" w:lineRule="auto"/>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Win-Rates</w:t>
            </w:r>
          </w:p>
        </w:tc>
      </w:tr>
      <w:tr w:rsidR="00A92358" w:rsidRPr="009B1169" w:rsidTr="00A92358">
        <w:trPr>
          <w:trHeight w:val="296"/>
        </w:trPr>
        <w:tc>
          <w:tcPr>
            <w:cnfStyle w:val="001000000000" w:firstRow="0" w:lastRow="0" w:firstColumn="1" w:lastColumn="0" w:oddVBand="0" w:evenVBand="0" w:oddHBand="0" w:evenHBand="0" w:firstRowFirstColumn="0" w:firstRowLastColumn="0" w:lastRowFirstColumn="0" w:lastRowLastColumn="0"/>
            <w:tcW w:w="2245" w:type="dxa"/>
            <w:noWrap/>
            <w:hideMark/>
          </w:tcPr>
          <w:p w:rsidR="00A92358" w:rsidRDefault="00A92358" w:rsidP="004905B7">
            <w:pPr>
              <w:spacing w:line="360" w:lineRule="auto"/>
              <w:jc w:val="both"/>
            </w:pPr>
          </w:p>
        </w:tc>
        <w:tc>
          <w:tcPr>
            <w:tcW w:w="1170" w:type="dxa"/>
            <w:noWrap/>
            <w:hideMark/>
          </w:tcPr>
          <w:p w:rsidR="00A92358" w:rsidRDefault="00A92358" w:rsidP="004905B7">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Black (C*)</w:t>
            </w:r>
          </w:p>
        </w:tc>
        <w:tc>
          <w:tcPr>
            <w:tcW w:w="1260" w:type="dxa"/>
            <w:noWrap/>
            <w:hideMark/>
          </w:tcPr>
          <w:p w:rsidR="00A92358" w:rsidRDefault="00A92358" w:rsidP="004905B7">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Black (R**)</w:t>
            </w:r>
          </w:p>
        </w:tc>
        <w:tc>
          <w:tcPr>
            <w:tcW w:w="1080" w:type="dxa"/>
            <w:noWrap/>
            <w:hideMark/>
          </w:tcPr>
          <w:p w:rsidR="00A92358" w:rsidRDefault="00A92358" w:rsidP="004905B7">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White (C)</w:t>
            </w:r>
          </w:p>
        </w:tc>
        <w:tc>
          <w:tcPr>
            <w:tcW w:w="1170" w:type="dxa"/>
            <w:noWrap/>
            <w:hideMark/>
          </w:tcPr>
          <w:p w:rsidR="00A92358" w:rsidRDefault="00A92358" w:rsidP="004905B7">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White (R)</w:t>
            </w:r>
          </w:p>
        </w:tc>
        <w:tc>
          <w:tcPr>
            <w:tcW w:w="1350" w:type="dxa"/>
            <w:noWrap/>
            <w:hideMark/>
          </w:tcPr>
          <w:p w:rsidR="00A92358" w:rsidRPr="009B1169" w:rsidRDefault="00A92358" w:rsidP="004905B7">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Black</w:t>
            </w:r>
          </w:p>
        </w:tc>
        <w:tc>
          <w:tcPr>
            <w:tcW w:w="1080" w:type="dxa"/>
            <w:noWrap/>
            <w:hideMark/>
          </w:tcPr>
          <w:p w:rsidR="00A92358" w:rsidRPr="009B1169" w:rsidRDefault="00A92358" w:rsidP="004905B7">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White</w:t>
            </w:r>
          </w:p>
        </w:tc>
      </w:tr>
      <w:tr w:rsidR="00A92358" w:rsidRPr="009B1169" w:rsidTr="00A92358">
        <w:trPr>
          <w:trHeight w:val="296"/>
        </w:trPr>
        <w:tc>
          <w:tcPr>
            <w:cnfStyle w:val="001000000000" w:firstRow="0" w:lastRow="0" w:firstColumn="1" w:lastColumn="0" w:oddVBand="0" w:evenVBand="0" w:oddHBand="0" w:evenHBand="0" w:firstRowFirstColumn="0" w:firstRowLastColumn="0" w:lastRowFirstColumn="0" w:lastRowLastColumn="0"/>
            <w:tcW w:w="2245" w:type="dxa"/>
            <w:noWrap/>
            <w:hideMark/>
          </w:tcPr>
          <w:p w:rsidR="00A92358" w:rsidRPr="009B1169" w:rsidRDefault="00A92358" w:rsidP="004905B7">
            <w:pPr>
              <w:spacing w:line="360" w:lineRule="auto"/>
              <w:jc w:val="both"/>
              <w:rPr>
                <w:rFonts w:ascii="Calibri" w:eastAsia="Times New Roman" w:hAnsi="Calibri" w:cs="Calibri"/>
                <w:color w:val="000000"/>
              </w:rPr>
            </w:pPr>
            <w:r w:rsidRPr="009B1169">
              <w:rPr>
                <w:rFonts w:ascii="Calibri" w:eastAsia="Times New Roman" w:hAnsi="Calibri" w:cs="Calibri"/>
                <w:color w:val="000000"/>
              </w:rPr>
              <w:t>AG vs. AG</w:t>
            </w:r>
          </w:p>
        </w:tc>
        <w:tc>
          <w:tcPr>
            <w:tcW w:w="1170" w:type="dxa"/>
            <w:noWrap/>
            <w:hideMark/>
          </w:tcPr>
          <w:p w:rsidR="00A92358" w:rsidRPr="009B1169" w:rsidRDefault="00A92358" w:rsidP="004905B7">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B1169">
              <w:rPr>
                <w:rFonts w:ascii="Calibri" w:eastAsia="Times New Roman" w:hAnsi="Calibri" w:cs="Calibri"/>
                <w:color w:val="000000"/>
              </w:rPr>
              <w:t>0</w:t>
            </w:r>
          </w:p>
        </w:tc>
        <w:tc>
          <w:tcPr>
            <w:tcW w:w="1260" w:type="dxa"/>
            <w:noWrap/>
            <w:hideMark/>
          </w:tcPr>
          <w:p w:rsidR="00A92358" w:rsidRPr="009B1169" w:rsidRDefault="00A92358" w:rsidP="004905B7">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B1169">
              <w:rPr>
                <w:rFonts w:ascii="Calibri" w:eastAsia="Times New Roman" w:hAnsi="Calibri" w:cs="Calibri"/>
                <w:color w:val="000000"/>
              </w:rPr>
              <w:t>12</w:t>
            </w:r>
          </w:p>
        </w:tc>
        <w:tc>
          <w:tcPr>
            <w:tcW w:w="1080" w:type="dxa"/>
            <w:noWrap/>
            <w:hideMark/>
          </w:tcPr>
          <w:p w:rsidR="00A92358" w:rsidRPr="009B1169" w:rsidRDefault="00A92358" w:rsidP="004905B7">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B1169">
              <w:rPr>
                <w:rFonts w:ascii="Calibri" w:eastAsia="Times New Roman" w:hAnsi="Calibri" w:cs="Calibri"/>
                <w:color w:val="000000"/>
              </w:rPr>
              <w:t>0</w:t>
            </w:r>
          </w:p>
        </w:tc>
        <w:tc>
          <w:tcPr>
            <w:tcW w:w="1170" w:type="dxa"/>
            <w:noWrap/>
            <w:hideMark/>
          </w:tcPr>
          <w:p w:rsidR="00A92358" w:rsidRPr="009B1169" w:rsidRDefault="00A92358" w:rsidP="004905B7">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B1169">
              <w:rPr>
                <w:rFonts w:ascii="Calibri" w:eastAsia="Times New Roman" w:hAnsi="Calibri" w:cs="Calibri"/>
                <w:color w:val="000000"/>
              </w:rPr>
              <w:t>38</w:t>
            </w:r>
          </w:p>
        </w:tc>
        <w:tc>
          <w:tcPr>
            <w:tcW w:w="1350" w:type="dxa"/>
            <w:noWrap/>
            <w:hideMark/>
          </w:tcPr>
          <w:p w:rsidR="00A92358" w:rsidRDefault="00A92358" w:rsidP="004905B7">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24.00%</w:t>
            </w:r>
          </w:p>
        </w:tc>
        <w:tc>
          <w:tcPr>
            <w:tcW w:w="1080" w:type="dxa"/>
            <w:noWrap/>
            <w:hideMark/>
          </w:tcPr>
          <w:p w:rsidR="00A92358" w:rsidRDefault="00A92358" w:rsidP="004905B7">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76.00%</w:t>
            </w:r>
          </w:p>
        </w:tc>
      </w:tr>
      <w:tr w:rsidR="00A92358" w:rsidRPr="009B1169" w:rsidTr="00A92358">
        <w:trPr>
          <w:trHeight w:val="296"/>
        </w:trPr>
        <w:tc>
          <w:tcPr>
            <w:cnfStyle w:val="001000000000" w:firstRow="0" w:lastRow="0" w:firstColumn="1" w:lastColumn="0" w:oddVBand="0" w:evenVBand="0" w:oddHBand="0" w:evenHBand="0" w:firstRowFirstColumn="0" w:firstRowLastColumn="0" w:lastRowFirstColumn="0" w:lastRowLastColumn="0"/>
            <w:tcW w:w="2245" w:type="dxa"/>
            <w:noWrap/>
            <w:hideMark/>
          </w:tcPr>
          <w:p w:rsidR="00A92358" w:rsidRPr="009B1169" w:rsidRDefault="00A92358" w:rsidP="004905B7">
            <w:pPr>
              <w:spacing w:line="360" w:lineRule="auto"/>
              <w:jc w:val="both"/>
              <w:rPr>
                <w:rFonts w:ascii="Calibri" w:eastAsia="Times New Roman" w:hAnsi="Calibri" w:cs="Calibri"/>
                <w:color w:val="000000"/>
              </w:rPr>
            </w:pPr>
            <w:r w:rsidRPr="009B1169">
              <w:rPr>
                <w:rFonts w:ascii="Calibri" w:eastAsia="Times New Roman" w:hAnsi="Calibri" w:cs="Calibri"/>
                <w:color w:val="000000"/>
              </w:rPr>
              <w:t>AG vs. Pro</w:t>
            </w:r>
          </w:p>
        </w:tc>
        <w:tc>
          <w:tcPr>
            <w:tcW w:w="1170" w:type="dxa"/>
            <w:noWrap/>
            <w:hideMark/>
          </w:tcPr>
          <w:p w:rsidR="00A92358" w:rsidRPr="009B1169" w:rsidRDefault="00A92358" w:rsidP="004905B7">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B1169">
              <w:rPr>
                <w:rFonts w:ascii="Calibri" w:eastAsia="Times New Roman" w:hAnsi="Calibri" w:cs="Calibri"/>
                <w:color w:val="000000"/>
              </w:rPr>
              <w:t>4</w:t>
            </w:r>
          </w:p>
        </w:tc>
        <w:tc>
          <w:tcPr>
            <w:tcW w:w="1260" w:type="dxa"/>
            <w:noWrap/>
            <w:hideMark/>
          </w:tcPr>
          <w:p w:rsidR="00A92358" w:rsidRPr="009B1169" w:rsidRDefault="00A92358" w:rsidP="004905B7">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B1169">
              <w:rPr>
                <w:rFonts w:ascii="Calibri" w:eastAsia="Times New Roman" w:hAnsi="Calibri" w:cs="Calibri"/>
                <w:color w:val="000000"/>
              </w:rPr>
              <w:t>25</w:t>
            </w:r>
          </w:p>
        </w:tc>
        <w:tc>
          <w:tcPr>
            <w:tcW w:w="1080" w:type="dxa"/>
            <w:noWrap/>
            <w:hideMark/>
          </w:tcPr>
          <w:p w:rsidR="00A92358" w:rsidRPr="009B1169" w:rsidRDefault="00A92358" w:rsidP="004905B7">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B1169">
              <w:rPr>
                <w:rFonts w:ascii="Calibri" w:eastAsia="Times New Roman" w:hAnsi="Calibri" w:cs="Calibri"/>
                <w:color w:val="000000"/>
              </w:rPr>
              <w:t>9</w:t>
            </w:r>
          </w:p>
        </w:tc>
        <w:tc>
          <w:tcPr>
            <w:tcW w:w="1170" w:type="dxa"/>
            <w:noWrap/>
            <w:hideMark/>
          </w:tcPr>
          <w:p w:rsidR="00A92358" w:rsidRPr="009B1169" w:rsidRDefault="00A92358" w:rsidP="004905B7">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B1169">
              <w:rPr>
                <w:rFonts w:ascii="Calibri" w:eastAsia="Times New Roman" w:hAnsi="Calibri" w:cs="Calibri"/>
                <w:color w:val="000000"/>
              </w:rPr>
              <w:t>22</w:t>
            </w:r>
          </w:p>
        </w:tc>
        <w:tc>
          <w:tcPr>
            <w:tcW w:w="1350" w:type="dxa"/>
            <w:noWrap/>
            <w:hideMark/>
          </w:tcPr>
          <w:p w:rsidR="00A92358" w:rsidRDefault="00A92358" w:rsidP="004905B7">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48.33%</w:t>
            </w:r>
          </w:p>
        </w:tc>
        <w:tc>
          <w:tcPr>
            <w:tcW w:w="1080" w:type="dxa"/>
            <w:noWrap/>
            <w:hideMark/>
          </w:tcPr>
          <w:p w:rsidR="00A92358" w:rsidRDefault="00A92358" w:rsidP="004905B7">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51.67%</w:t>
            </w:r>
          </w:p>
        </w:tc>
      </w:tr>
      <w:tr w:rsidR="00A92358" w:rsidRPr="009B1169" w:rsidTr="00A92358">
        <w:trPr>
          <w:trHeight w:val="296"/>
        </w:trPr>
        <w:tc>
          <w:tcPr>
            <w:cnfStyle w:val="001000000000" w:firstRow="0" w:lastRow="0" w:firstColumn="1" w:lastColumn="0" w:oddVBand="0" w:evenVBand="0" w:oddHBand="0" w:evenHBand="0" w:firstRowFirstColumn="0" w:firstRowLastColumn="0" w:lastRowFirstColumn="0" w:lastRowLastColumn="0"/>
            <w:tcW w:w="2245" w:type="dxa"/>
            <w:noWrap/>
            <w:hideMark/>
          </w:tcPr>
          <w:p w:rsidR="00A92358" w:rsidRPr="009B1169" w:rsidRDefault="00A92358" w:rsidP="004905B7">
            <w:pPr>
              <w:spacing w:line="360" w:lineRule="auto"/>
              <w:jc w:val="both"/>
              <w:rPr>
                <w:rFonts w:ascii="Calibri" w:eastAsia="Times New Roman" w:hAnsi="Calibri" w:cs="Calibri"/>
                <w:color w:val="000000"/>
              </w:rPr>
            </w:pPr>
            <w:r w:rsidRPr="009B1169">
              <w:rPr>
                <w:rFonts w:ascii="Calibri" w:eastAsia="Times New Roman" w:hAnsi="Calibri" w:cs="Calibri"/>
                <w:color w:val="000000"/>
              </w:rPr>
              <w:t>Pro vs. Pro (Go4Go)</w:t>
            </w:r>
          </w:p>
        </w:tc>
        <w:tc>
          <w:tcPr>
            <w:tcW w:w="1170" w:type="dxa"/>
            <w:noWrap/>
            <w:hideMark/>
          </w:tcPr>
          <w:p w:rsidR="00A92358" w:rsidRPr="009B1169" w:rsidRDefault="00A92358" w:rsidP="004905B7">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B1169">
              <w:rPr>
                <w:rFonts w:ascii="Calibri" w:eastAsia="Times New Roman" w:hAnsi="Calibri" w:cs="Calibri"/>
                <w:color w:val="000000"/>
              </w:rPr>
              <w:t>6</w:t>
            </w:r>
          </w:p>
        </w:tc>
        <w:tc>
          <w:tcPr>
            <w:tcW w:w="1260" w:type="dxa"/>
            <w:noWrap/>
            <w:hideMark/>
          </w:tcPr>
          <w:p w:rsidR="00A92358" w:rsidRPr="009B1169" w:rsidRDefault="00A92358" w:rsidP="004905B7">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B1169">
              <w:rPr>
                <w:rFonts w:ascii="Calibri" w:eastAsia="Times New Roman" w:hAnsi="Calibri" w:cs="Calibri"/>
                <w:color w:val="000000"/>
              </w:rPr>
              <w:t>17</w:t>
            </w:r>
          </w:p>
        </w:tc>
        <w:tc>
          <w:tcPr>
            <w:tcW w:w="1080" w:type="dxa"/>
            <w:noWrap/>
            <w:hideMark/>
          </w:tcPr>
          <w:p w:rsidR="00A92358" w:rsidRPr="009B1169" w:rsidRDefault="00A92358" w:rsidP="004905B7">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B1169">
              <w:rPr>
                <w:rFonts w:ascii="Calibri" w:eastAsia="Times New Roman" w:hAnsi="Calibri" w:cs="Calibri"/>
                <w:color w:val="000000"/>
              </w:rPr>
              <w:t>8</w:t>
            </w:r>
          </w:p>
        </w:tc>
        <w:tc>
          <w:tcPr>
            <w:tcW w:w="1170" w:type="dxa"/>
            <w:noWrap/>
            <w:hideMark/>
          </w:tcPr>
          <w:p w:rsidR="00A92358" w:rsidRPr="009B1169" w:rsidRDefault="00A92358" w:rsidP="004905B7">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B1169">
              <w:rPr>
                <w:rFonts w:ascii="Calibri" w:eastAsia="Times New Roman" w:hAnsi="Calibri" w:cs="Calibri"/>
                <w:color w:val="000000"/>
              </w:rPr>
              <w:t>19</w:t>
            </w:r>
          </w:p>
        </w:tc>
        <w:tc>
          <w:tcPr>
            <w:tcW w:w="1350" w:type="dxa"/>
            <w:noWrap/>
            <w:hideMark/>
          </w:tcPr>
          <w:p w:rsidR="00A92358" w:rsidRDefault="00A92358" w:rsidP="004905B7">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46.00%</w:t>
            </w:r>
          </w:p>
        </w:tc>
        <w:tc>
          <w:tcPr>
            <w:tcW w:w="1080" w:type="dxa"/>
            <w:noWrap/>
            <w:hideMark/>
          </w:tcPr>
          <w:p w:rsidR="00A92358" w:rsidRDefault="00A92358" w:rsidP="004905B7">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54.00%</w:t>
            </w:r>
          </w:p>
        </w:tc>
      </w:tr>
      <w:tr w:rsidR="00A92358" w:rsidRPr="009B1169" w:rsidTr="00A92358">
        <w:trPr>
          <w:trHeight w:val="296"/>
        </w:trPr>
        <w:tc>
          <w:tcPr>
            <w:cnfStyle w:val="001000000000" w:firstRow="0" w:lastRow="0" w:firstColumn="1" w:lastColumn="0" w:oddVBand="0" w:evenVBand="0" w:oddHBand="0" w:evenHBand="0" w:firstRowFirstColumn="0" w:firstRowLastColumn="0" w:lastRowFirstColumn="0" w:lastRowLastColumn="0"/>
            <w:tcW w:w="2245" w:type="dxa"/>
            <w:noWrap/>
            <w:hideMark/>
          </w:tcPr>
          <w:p w:rsidR="00A92358" w:rsidRPr="009B1169" w:rsidRDefault="00A92358" w:rsidP="004905B7">
            <w:pPr>
              <w:spacing w:line="360" w:lineRule="auto"/>
              <w:jc w:val="both"/>
              <w:rPr>
                <w:rFonts w:ascii="Calibri" w:eastAsia="Times New Roman" w:hAnsi="Calibri" w:cs="Calibri"/>
                <w:color w:val="000000"/>
              </w:rPr>
            </w:pPr>
            <w:r w:rsidRPr="009B1169">
              <w:rPr>
                <w:rFonts w:ascii="Calibri" w:eastAsia="Times New Roman" w:hAnsi="Calibri" w:cs="Calibri"/>
                <w:color w:val="000000"/>
              </w:rPr>
              <w:t>Pro vs. Pro (</w:t>
            </w:r>
            <w:proofErr w:type="spellStart"/>
            <w:r w:rsidRPr="009B1169">
              <w:rPr>
                <w:rFonts w:ascii="Calibri" w:eastAsia="Times New Roman" w:hAnsi="Calibri" w:cs="Calibri"/>
                <w:color w:val="000000"/>
              </w:rPr>
              <w:t>GoKifu</w:t>
            </w:r>
            <w:proofErr w:type="spellEnd"/>
            <w:r w:rsidRPr="009B1169">
              <w:rPr>
                <w:rFonts w:ascii="Calibri" w:eastAsia="Times New Roman" w:hAnsi="Calibri" w:cs="Calibri"/>
                <w:color w:val="000000"/>
              </w:rPr>
              <w:t>)</w:t>
            </w:r>
          </w:p>
        </w:tc>
        <w:tc>
          <w:tcPr>
            <w:tcW w:w="1170" w:type="dxa"/>
            <w:noWrap/>
            <w:hideMark/>
          </w:tcPr>
          <w:p w:rsidR="00A92358" w:rsidRPr="009B1169" w:rsidRDefault="00A92358" w:rsidP="004905B7">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B1169">
              <w:rPr>
                <w:rFonts w:ascii="Calibri" w:eastAsia="Times New Roman" w:hAnsi="Calibri" w:cs="Calibri"/>
                <w:color w:val="000000"/>
              </w:rPr>
              <w:t>9</w:t>
            </w:r>
          </w:p>
        </w:tc>
        <w:tc>
          <w:tcPr>
            <w:tcW w:w="1260" w:type="dxa"/>
            <w:noWrap/>
            <w:hideMark/>
          </w:tcPr>
          <w:p w:rsidR="00A92358" w:rsidRPr="009B1169" w:rsidRDefault="00A92358" w:rsidP="004905B7">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B1169">
              <w:rPr>
                <w:rFonts w:ascii="Calibri" w:eastAsia="Times New Roman" w:hAnsi="Calibri" w:cs="Calibri"/>
                <w:color w:val="000000"/>
              </w:rPr>
              <w:t>44</w:t>
            </w:r>
          </w:p>
        </w:tc>
        <w:tc>
          <w:tcPr>
            <w:tcW w:w="1080" w:type="dxa"/>
            <w:noWrap/>
            <w:hideMark/>
          </w:tcPr>
          <w:p w:rsidR="00A92358" w:rsidRPr="009B1169" w:rsidRDefault="00A92358" w:rsidP="004905B7">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B1169">
              <w:rPr>
                <w:rFonts w:ascii="Calibri" w:eastAsia="Times New Roman" w:hAnsi="Calibri" w:cs="Calibri"/>
                <w:color w:val="000000"/>
              </w:rPr>
              <w:t>13</w:t>
            </w:r>
          </w:p>
        </w:tc>
        <w:tc>
          <w:tcPr>
            <w:tcW w:w="1170" w:type="dxa"/>
            <w:noWrap/>
            <w:hideMark/>
          </w:tcPr>
          <w:p w:rsidR="00A92358" w:rsidRPr="009B1169" w:rsidRDefault="00A92358" w:rsidP="004905B7">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B1169">
              <w:rPr>
                <w:rFonts w:ascii="Calibri" w:eastAsia="Times New Roman" w:hAnsi="Calibri" w:cs="Calibri"/>
                <w:color w:val="000000"/>
              </w:rPr>
              <w:t>34</w:t>
            </w:r>
          </w:p>
        </w:tc>
        <w:tc>
          <w:tcPr>
            <w:tcW w:w="1350" w:type="dxa"/>
            <w:noWrap/>
            <w:hideMark/>
          </w:tcPr>
          <w:p w:rsidR="00A92358" w:rsidRDefault="00A92358" w:rsidP="004905B7">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53.00%</w:t>
            </w:r>
          </w:p>
        </w:tc>
        <w:tc>
          <w:tcPr>
            <w:tcW w:w="1080" w:type="dxa"/>
            <w:noWrap/>
            <w:hideMark/>
          </w:tcPr>
          <w:p w:rsidR="00A92358" w:rsidRDefault="00A92358" w:rsidP="004905B7">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47.00%</w:t>
            </w:r>
          </w:p>
        </w:tc>
      </w:tr>
      <w:tr w:rsidR="00A92358" w:rsidRPr="009B1169" w:rsidTr="00A92358">
        <w:trPr>
          <w:trHeight w:val="269"/>
        </w:trPr>
        <w:tc>
          <w:tcPr>
            <w:cnfStyle w:val="001000000000" w:firstRow="0" w:lastRow="0" w:firstColumn="1" w:lastColumn="0" w:oddVBand="0" w:evenVBand="0" w:oddHBand="0" w:evenHBand="0" w:firstRowFirstColumn="0" w:firstRowLastColumn="0" w:lastRowFirstColumn="0" w:lastRowLastColumn="0"/>
            <w:tcW w:w="2245" w:type="dxa"/>
            <w:noWrap/>
            <w:hideMark/>
          </w:tcPr>
          <w:p w:rsidR="00A92358" w:rsidRPr="009B1169" w:rsidRDefault="00A92358" w:rsidP="004905B7">
            <w:pPr>
              <w:spacing w:line="360" w:lineRule="auto"/>
              <w:jc w:val="both"/>
              <w:rPr>
                <w:rFonts w:ascii="Calibri" w:eastAsia="Times New Roman" w:hAnsi="Calibri" w:cs="Calibri"/>
                <w:color w:val="000000"/>
              </w:rPr>
            </w:pPr>
            <w:r w:rsidRPr="009B1169">
              <w:rPr>
                <w:rFonts w:ascii="Calibri" w:eastAsia="Times New Roman" w:hAnsi="Calibri" w:cs="Calibri"/>
                <w:color w:val="000000"/>
              </w:rPr>
              <w:t>Total Pro vs. Pro</w:t>
            </w:r>
          </w:p>
        </w:tc>
        <w:tc>
          <w:tcPr>
            <w:tcW w:w="1170" w:type="dxa"/>
            <w:noWrap/>
            <w:hideMark/>
          </w:tcPr>
          <w:p w:rsidR="00A92358" w:rsidRPr="009B1169" w:rsidRDefault="00A92358" w:rsidP="004905B7">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B1169">
              <w:rPr>
                <w:rFonts w:ascii="Calibri" w:eastAsia="Times New Roman" w:hAnsi="Calibri" w:cs="Calibri"/>
                <w:color w:val="000000"/>
              </w:rPr>
              <w:t>15</w:t>
            </w:r>
          </w:p>
        </w:tc>
        <w:tc>
          <w:tcPr>
            <w:tcW w:w="1260" w:type="dxa"/>
            <w:noWrap/>
            <w:hideMark/>
          </w:tcPr>
          <w:p w:rsidR="00A92358" w:rsidRPr="009B1169" w:rsidRDefault="00A92358" w:rsidP="004905B7">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B1169">
              <w:rPr>
                <w:rFonts w:ascii="Calibri" w:eastAsia="Times New Roman" w:hAnsi="Calibri" w:cs="Calibri"/>
                <w:color w:val="000000"/>
              </w:rPr>
              <w:t>61</w:t>
            </w:r>
          </w:p>
        </w:tc>
        <w:tc>
          <w:tcPr>
            <w:tcW w:w="1080" w:type="dxa"/>
            <w:noWrap/>
            <w:hideMark/>
          </w:tcPr>
          <w:p w:rsidR="00A92358" w:rsidRPr="009B1169" w:rsidRDefault="00A92358" w:rsidP="004905B7">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B1169">
              <w:rPr>
                <w:rFonts w:ascii="Calibri" w:eastAsia="Times New Roman" w:hAnsi="Calibri" w:cs="Calibri"/>
                <w:color w:val="000000"/>
              </w:rPr>
              <w:t>21</w:t>
            </w:r>
          </w:p>
        </w:tc>
        <w:tc>
          <w:tcPr>
            <w:tcW w:w="1170" w:type="dxa"/>
            <w:noWrap/>
            <w:hideMark/>
          </w:tcPr>
          <w:p w:rsidR="00A92358" w:rsidRPr="009B1169" w:rsidRDefault="00A92358" w:rsidP="004905B7">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B1169">
              <w:rPr>
                <w:rFonts w:ascii="Calibri" w:eastAsia="Times New Roman" w:hAnsi="Calibri" w:cs="Calibri"/>
                <w:color w:val="000000"/>
              </w:rPr>
              <w:t>53</w:t>
            </w:r>
          </w:p>
        </w:tc>
        <w:tc>
          <w:tcPr>
            <w:tcW w:w="1350" w:type="dxa"/>
            <w:noWrap/>
            <w:hideMark/>
          </w:tcPr>
          <w:p w:rsidR="00A92358" w:rsidRDefault="00A92358" w:rsidP="004905B7">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50.67%</w:t>
            </w:r>
          </w:p>
        </w:tc>
        <w:tc>
          <w:tcPr>
            <w:tcW w:w="1080" w:type="dxa"/>
            <w:noWrap/>
            <w:hideMark/>
          </w:tcPr>
          <w:p w:rsidR="00A92358" w:rsidRDefault="00A92358" w:rsidP="004905B7">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49.33%</w:t>
            </w:r>
          </w:p>
        </w:tc>
      </w:tr>
    </w:tbl>
    <w:p w:rsidR="009B1169" w:rsidRPr="00A92358" w:rsidRDefault="008C670B" w:rsidP="004905B7">
      <w:pPr>
        <w:spacing w:before="240" w:after="0" w:line="360" w:lineRule="auto"/>
        <w:jc w:val="both"/>
        <w:rPr>
          <w:i/>
        </w:rPr>
      </w:pPr>
      <w:r w:rsidRPr="00A92358">
        <w:rPr>
          <w:i/>
        </w:rPr>
        <w:t>*C = Wins by counting (game complete)</w:t>
      </w:r>
    </w:p>
    <w:p w:rsidR="008C670B" w:rsidRPr="00A92358" w:rsidRDefault="008C670B" w:rsidP="004905B7">
      <w:pPr>
        <w:spacing w:after="240" w:line="360" w:lineRule="auto"/>
        <w:jc w:val="both"/>
        <w:rPr>
          <w:i/>
        </w:rPr>
      </w:pPr>
      <w:r w:rsidRPr="00A92358">
        <w:rPr>
          <w:i/>
        </w:rPr>
        <w:t>**R = Wins by resignation (game incomplete)</w:t>
      </w:r>
    </w:p>
    <w:p w:rsidR="009B1169" w:rsidRPr="009D09AD" w:rsidRDefault="007D4224" w:rsidP="004905B7">
      <w:pPr>
        <w:spacing w:before="120" w:after="240" w:line="360" w:lineRule="auto"/>
        <w:jc w:val="both"/>
      </w:pPr>
      <w:r w:rsidRPr="009D09AD">
        <w:t>Win-</w:t>
      </w:r>
      <w:r w:rsidR="00A92358" w:rsidRPr="009D09AD">
        <w:t>m</w:t>
      </w:r>
      <w:r w:rsidRPr="009D09AD">
        <w:t xml:space="preserve">argins were considered, but </w:t>
      </w:r>
      <w:r w:rsidR="00A92358" w:rsidRPr="009D09AD">
        <w:t>the range of available data within the datasets were too limited to be useful. Moreover, win-margins are</w:t>
      </w:r>
      <w:r w:rsidRPr="009D09AD">
        <w:t xml:space="preserve"> highly dependent on context</w:t>
      </w:r>
      <w:r w:rsidR="00A92358" w:rsidRPr="009D09AD">
        <w:t xml:space="preserve">. For example, AlphaGo always resigns after its winning probability falls below a preset </w:t>
      </w:r>
      <w:proofErr w:type="spellStart"/>
      <w:r w:rsidR="00A92358" w:rsidRPr="009D09AD">
        <w:t>threshhold</w:t>
      </w:r>
      <w:proofErr w:type="spellEnd"/>
      <w:r w:rsidR="00A92358" w:rsidRPr="009D09AD">
        <w:t>. Similarly, by end-game</w:t>
      </w:r>
      <w:r w:rsidRPr="009D09AD">
        <w:t>, pro</w:t>
      </w:r>
      <w:r w:rsidR="00A92358" w:rsidRPr="009D09AD">
        <w:t>fessional</w:t>
      </w:r>
      <w:r w:rsidRPr="009D09AD">
        <w:t xml:space="preserve"> players are also</w:t>
      </w:r>
      <w:r w:rsidR="00A92358" w:rsidRPr="009D09AD">
        <w:t xml:space="preserve"> </w:t>
      </w:r>
      <w:r w:rsidRPr="009D09AD">
        <w:t xml:space="preserve">certain of the </w:t>
      </w:r>
      <w:r w:rsidR="00A92358" w:rsidRPr="009D09AD">
        <w:t>game outcome</w:t>
      </w:r>
      <w:r w:rsidRPr="009D09AD">
        <w:t xml:space="preserve">, </w:t>
      </w:r>
      <w:r w:rsidR="00A92358" w:rsidRPr="009D09AD">
        <w:t xml:space="preserve">and can choose to resign, </w:t>
      </w:r>
      <w:r w:rsidRPr="009D09AD">
        <w:t>but may play out the match for personal reasons</w:t>
      </w:r>
      <w:r w:rsidR="00A92358" w:rsidRPr="009D09AD">
        <w:t xml:space="preserve">, rendering win-margin more </w:t>
      </w:r>
      <w:proofErr w:type="gramStart"/>
      <w:r w:rsidR="00A92358" w:rsidRPr="009D09AD">
        <w:t>a</w:t>
      </w:r>
      <w:proofErr w:type="gramEnd"/>
      <w:r w:rsidR="00A92358" w:rsidRPr="009D09AD">
        <w:t xml:space="preserve"> arbitrary factor than an indicator of gameplay or player strength.</w:t>
      </w:r>
    </w:p>
    <w:p w:rsidR="00A92358" w:rsidRPr="009D09AD" w:rsidRDefault="00A904BF" w:rsidP="004905B7">
      <w:pPr>
        <w:spacing w:before="120" w:after="240" w:line="360" w:lineRule="auto"/>
        <w:jc w:val="both"/>
        <w:rPr>
          <w:i/>
        </w:rPr>
      </w:pPr>
      <w:r>
        <w:rPr>
          <w:i/>
        </w:rPr>
        <w:t xml:space="preserve">Author’s </w:t>
      </w:r>
      <w:r w:rsidR="009D09AD">
        <w:rPr>
          <w:i/>
        </w:rPr>
        <w:t xml:space="preserve">Note: individual tempo and game tempo data tables (includes Average Euclidean Distance and SD data) are to be updated. </w:t>
      </w:r>
      <w:r w:rsidR="009D09AD" w:rsidRPr="00EC7B76">
        <w:rPr>
          <w:i/>
        </w:rPr>
        <w:t>Please contact the author directly for more information</w:t>
      </w:r>
      <w:r w:rsidR="009D09AD">
        <w:rPr>
          <w:i/>
        </w:rPr>
        <w:t xml:space="preserve"> (12/1/17)</w:t>
      </w:r>
      <w:r w:rsidR="009D09AD" w:rsidRPr="00EC7B76">
        <w:rPr>
          <w:i/>
        </w:rPr>
        <w:t>.</w:t>
      </w:r>
    </w:p>
    <w:p w:rsidR="0040212D" w:rsidRDefault="0040212D" w:rsidP="004905B7">
      <w:pPr>
        <w:pStyle w:val="Heading2"/>
        <w:spacing w:before="120" w:after="240" w:line="360" w:lineRule="auto"/>
        <w:jc w:val="both"/>
      </w:pPr>
      <w:bookmarkStart w:id="26" w:name="_Toc499993223"/>
      <w:r>
        <w:t xml:space="preserve">8.2. </w:t>
      </w:r>
      <w:r w:rsidR="00F86BF9">
        <w:t xml:space="preserve">R </w:t>
      </w:r>
      <w:r>
        <w:t>Code Summary</w:t>
      </w:r>
      <w:bookmarkEnd w:id="26"/>
    </w:p>
    <w:p w:rsidR="00EC7B76" w:rsidRPr="00EC7B76" w:rsidRDefault="00A904BF" w:rsidP="004905B7">
      <w:pPr>
        <w:spacing w:before="120" w:after="240" w:line="360" w:lineRule="auto"/>
        <w:jc w:val="both"/>
        <w:rPr>
          <w:i/>
        </w:rPr>
      </w:pPr>
      <w:r>
        <w:rPr>
          <w:i/>
        </w:rPr>
        <w:t>Author’s Note: t</w:t>
      </w:r>
      <w:r w:rsidR="00EC7B76" w:rsidRPr="00EC7B76">
        <w:rPr>
          <w:i/>
        </w:rPr>
        <w:t>o be updated. Please contact the author directly for more information</w:t>
      </w:r>
      <w:r w:rsidR="00A30888">
        <w:rPr>
          <w:i/>
        </w:rPr>
        <w:t xml:space="preserve"> (12/</w:t>
      </w:r>
      <w:r w:rsidR="006C5C44">
        <w:rPr>
          <w:i/>
        </w:rPr>
        <w:t>1</w:t>
      </w:r>
      <w:r w:rsidR="00A30888">
        <w:rPr>
          <w:i/>
        </w:rPr>
        <w:t>/17)</w:t>
      </w:r>
      <w:r w:rsidR="00EC7B76" w:rsidRPr="00EC7B76">
        <w:rPr>
          <w:i/>
        </w:rPr>
        <w:t>.</w:t>
      </w:r>
    </w:p>
    <w:sectPr w:rsidR="00EC7B76" w:rsidRPr="00EC7B76" w:rsidSect="00866F51">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385C" w:rsidRDefault="00C8385C" w:rsidP="005C4A94">
      <w:pPr>
        <w:spacing w:after="0" w:line="240" w:lineRule="auto"/>
      </w:pPr>
      <w:r>
        <w:separator/>
      </w:r>
    </w:p>
  </w:endnote>
  <w:endnote w:type="continuationSeparator" w:id="0">
    <w:p w:rsidR="00C8385C" w:rsidRDefault="00C8385C" w:rsidP="005C4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7522017"/>
      <w:docPartObj>
        <w:docPartGallery w:val="Page Numbers (Bottom of Page)"/>
        <w:docPartUnique/>
      </w:docPartObj>
    </w:sdtPr>
    <w:sdtEndPr>
      <w:rPr>
        <w:noProof/>
      </w:rPr>
    </w:sdtEndPr>
    <w:sdtContent>
      <w:p w:rsidR="00077422" w:rsidRDefault="00077422" w:rsidP="00866F51">
        <w:pPr>
          <w:pStyle w:val="Footer"/>
          <w:jc w:val="center"/>
        </w:pPr>
        <w:r>
          <w:fldChar w:fldCharType="begin"/>
        </w:r>
        <w:r>
          <w:instrText xml:space="preserve"> PAGE   \* MERGEFORMAT </w:instrText>
        </w:r>
        <w:r>
          <w:fldChar w:fldCharType="separate"/>
        </w:r>
        <w:r w:rsidR="00DC63D6">
          <w:rPr>
            <w:noProof/>
          </w:rPr>
          <w:t>18</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385C" w:rsidRDefault="00C8385C" w:rsidP="005C4A94">
      <w:pPr>
        <w:spacing w:after="0" w:line="240" w:lineRule="auto"/>
      </w:pPr>
      <w:r>
        <w:separator/>
      </w:r>
    </w:p>
  </w:footnote>
  <w:footnote w:type="continuationSeparator" w:id="0">
    <w:p w:rsidR="00C8385C" w:rsidRDefault="00C8385C" w:rsidP="005C4A94">
      <w:pPr>
        <w:spacing w:after="0" w:line="240" w:lineRule="auto"/>
      </w:pPr>
      <w:r>
        <w:continuationSeparator/>
      </w:r>
    </w:p>
  </w:footnote>
  <w:footnote w:id="1">
    <w:p w:rsidR="00077422" w:rsidRDefault="00077422">
      <w:pPr>
        <w:pStyle w:val="FootnoteText"/>
      </w:pPr>
      <w:r>
        <w:rPr>
          <w:rStyle w:val="FootnoteReference"/>
        </w:rPr>
        <w:footnoteRef/>
      </w:r>
      <w:r>
        <w:t xml:space="preserve"> Contact Email: i.yiu@berkeley.edu</w:t>
      </w:r>
    </w:p>
    <w:p w:rsidR="00077422" w:rsidRDefault="00077422">
      <w:pPr>
        <w:pStyle w:val="FootnoteText"/>
      </w:pPr>
      <w:r>
        <w:t xml:space="preserve">The author would like to thank Isaac </w:t>
      </w:r>
      <w:proofErr w:type="spellStart"/>
      <w:r>
        <w:t>Pariser</w:t>
      </w:r>
      <w:proofErr w:type="spellEnd"/>
      <w:r>
        <w:t xml:space="preserve"> and Winnie Luo for their invaluable feedback and advice throughout the study, as well as </w:t>
      </w:r>
      <w:proofErr w:type="spellStart"/>
      <w:r>
        <w:t>Arun</w:t>
      </w:r>
      <w:proofErr w:type="spellEnd"/>
      <w:r>
        <w:t xml:space="preserve"> Ramamurthy for helpful comments regarding R.</w:t>
      </w:r>
    </w:p>
  </w:footnote>
  <w:footnote w:id="2">
    <w:p w:rsidR="00077422" w:rsidRDefault="00077422">
      <w:pPr>
        <w:pStyle w:val="FootnoteText"/>
      </w:pPr>
      <w:r>
        <w:rPr>
          <w:rStyle w:val="FootnoteReference"/>
        </w:rPr>
        <w:footnoteRef/>
      </w:r>
      <w:r>
        <w:t xml:space="preserve"> Translation of other common names: </w:t>
      </w:r>
      <w:r w:rsidRPr="007A7753">
        <w:rPr>
          <w:rFonts w:hint="eastAsia"/>
        </w:rPr>
        <w:t>围棋</w:t>
      </w:r>
      <w:r>
        <w:rPr>
          <w:rFonts w:hint="eastAsia"/>
        </w:rPr>
        <w:t xml:space="preserve"> </w:t>
      </w:r>
      <w:r>
        <w:t>(</w:t>
      </w:r>
      <w:proofErr w:type="spellStart"/>
      <w:r>
        <w:t>Weiqi</w:t>
      </w:r>
      <w:proofErr w:type="spellEnd"/>
      <w:r>
        <w:t xml:space="preserve">) in Chinese, </w:t>
      </w:r>
      <w:r w:rsidRPr="007A7753">
        <w:rPr>
          <w:rFonts w:hint="eastAsia"/>
        </w:rPr>
        <w:t>囲碁</w:t>
      </w:r>
      <w:r>
        <w:rPr>
          <w:rFonts w:hint="eastAsia"/>
        </w:rPr>
        <w:t xml:space="preserve"> </w:t>
      </w:r>
      <w:r>
        <w:t>(</w:t>
      </w:r>
      <w:proofErr w:type="spellStart"/>
      <w:r>
        <w:t>Igo</w:t>
      </w:r>
      <w:proofErr w:type="spellEnd"/>
      <w:r>
        <w:t xml:space="preserve">) in Japanese, </w:t>
      </w:r>
      <w:r w:rsidRPr="007A7753">
        <w:rPr>
          <w:rFonts w:ascii="Batang" w:eastAsia="Batang" w:hAnsi="Batang" w:cs="Batang" w:hint="eastAsia"/>
          <w:color w:val="222222"/>
          <w:sz w:val="21"/>
          <w:szCs w:val="21"/>
        </w:rPr>
        <w:t>바둑</w:t>
      </w:r>
      <w:r>
        <w:rPr>
          <w:rFonts w:hint="eastAsia"/>
        </w:rPr>
        <w:t xml:space="preserve"> </w:t>
      </w:r>
      <w:r>
        <w:t>(</w:t>
      </w:r>
      <w:proofErr w:type="spellStart"/>
      <w:r>
        <w:t>Baduk</w:t>
      </w:r>
      <w:proofErr w:type="spellEnd"/>
      <w:r>
        <w:t>) in Korean.</w:t>
      </w:r>
    </w:p>
  </w:footnote>
  <w:footnote w:id="3">
    <w:p w:rsidR="00077422" w:rsidRDefault="00077422">
      <w:pPr>
        <w:pStyle w:val="FootnoteText"/>
      </w:pPr>
      <w:r>
        <w:rPr>
          <w:rStyle w:val="FootnoteReference"/>
        </w:rPr>
        <w:footnoteRef/>
      </w:r>
      <w:r>
        <w:t xml:space="preserve"> Technically speaking, the value of a stone is affected by its relative position on the board. Since the “formations” or “patterns” of stones on the board, and the playstyle of each player varies within and across games, the value of each stone is often constantly-changing and difficult to quantify.</w:t>
      </w:r>
    </w:p>
  </w:footnote>
  <w:footnote w:id="4">
    <w:p w:rsidR="00077422" w:rsidRPr="00494EA5" w:rsidRDefault="00077422">
      <w:pPr>
        <w:pStyle w:val="FootnoteText"/>
      </w:pPr>
      <w:r>
        <w:rPr>
          <w:rStyle w:val="FootnoteReference"/>
        </w:rPr>
        <w:footnoteRef/>
      </w:r>
      <w:r>
        <w:t xml:space="preserve"> The number of legal game positions in Go is estimated to be in the order of magnitude of 10^170, at least a googol more than chess! For more information, see </w:t>
      </w:r>
      <w:r>
        <w:rPr>
          <w:i/>
        </w:rPr>
        <w:t xml:space="preserve">DeepMind </w:t>
      </w:r>
      <w:r>
        <w:t xml:space="preserve">and </w:t>
      </w:r>
      <w:proofErr w:type="spellStart"/>
      <w:r>
        <w:t>Hollosi</w:t>
      </w:r>
      <w:proofErr w:type="spellEnd"/>
      <w:r>
        <w:t xml:space="preserve"> and </w:t>
      </w:r>
      <w:proofErr w:type="spellStart"/>
      <w:r>
        <w:t>Pahle</w:t>
      </w:r>
      <w:proofErr w:type="spellEnd"/>
      <w:r>
        <w:t>.</w:t>
      </w:r>
    </w:p>
  </w:footnote>
  <w:footnote w:id="5">
    <w:p w:rsidR="00077422" w:rsidRPr="009816D5" w:rsidRDefault="00077422">
      <w:pPr>
        <w:pStyle w:val="FootnoteText"/>
      </w:pPr>
      <w:r>
        <w:rPr>
          <w:rStyle w:val="FootnoteReference"/>
        </w:rPr>
        <w:footnoteRef/>
      </w:r>
      <w:r>
        <w:t xml:space="preserve"> For an example of AlphaGo’s inventive move, see </w:t>
      </w:r>
      <w:r>
        <w:rPr>
          <w:i/>
        </w:rPr>
        <w:t>DeepMind</w:t>
      </w:r>
      <w:r>
        <w:t xml:space="preserve">, </w:t>
      </w:r>
      <w:r w:rsidRPr="009816D5">
        <w:t>deepmind.com/blog/innovations-</w:t>
      </w:r>
      <w:proofErr w:type="spellStart"/>
      <w:r w:rsidRPr="009816D5">
        <w:t>alphago</w:t>
      </w:r>
      <w:proofErr w:type="spellEnd"/>
      <w:r w:rsidRPr="009816D5">
        <w:t>/</w:t>
      </w:r>
      <w:r>
        <w:t>.</w:t>
      </w:r>
    </w:p>
  </w:footnote>
  <w:footnote w:id="6">
    <w:p w:rsidR="00077422" w:rsidRDefault="00077422">
      <w:pPr>
        <w:pStyle w:val="FootnoteText"/>
      </w:pPr>
      <w:r>
        <w:rPr>
          <w:rStyle w:val="FootnoteReference"/>
        </w:rPr>
        <w:footnoteRef/>
      </w:r>
      <w:r>
        <w:t xml:space="preserve"> Human-played games served as an initial “bootstrap” method of training; after reaching a certain level of proficiency, AlphaGo relied on self-played games.</w:t>
      </w:r>
    </w:p>
  </w:footnote>
  <w:footnote w:id="7">
    <w:p w:rsidR="00077422" w:rsidRDefault="00077422">
      <w:pPr>
        <w:pStyle w:val="FootnoteText"/>
      </w:pPr>
      <w:r>
        <w:rPr>
          <w:rStyle w:val="FootnoteReference"/>
        </w:rPr>
        <w:footnoteRef/>
      </w:r>
      <w:r>
        <w:t xml:space="preserve"> For a more technical treatment, see Silver, David, et al.</w:t>
      </w:r>
    </w:p>
  </w:footnote>
  <w:footnote w:id="8">
    <w:p w:rsidR="00077422" w:rsidRDefault="00077422">
      <w:pPr>
        <w:pStyle w:val="FootnoteText"/>
      </w:pPr>
      <w:r>
        <w:rPr>
          <w:rStyle w:val="FootnoteReference"/>
        </w:rPr>
        <w:footnoteRef/>
      </w:r>
      <w:r>
        <w:t xml:space="preserve"> Generally, 6.5 points (Japan, Korea) or 7.5 points (China).</w:t>
      </w:r>
    </w:p>
  </w:footnote>
  <w:footnote w:id="9">
    <w:p w:rsidR="00077422" w:rsidRDefault="00077422">
      <w:pPr>
        <w:pStyle w:val="FootnoteText"/>
      </w:pPr>
      <w:r>
        <w:rPr>
          <w:rStyle w:val="FootnoteReference"/>
        </w:rPr>
        <w:footnoteRef/>
      </w:r>
      <w:r>
        <w:t xml:space="preserve"> Playing “lightly” refers to playing without overcommitting to certain positions on the board, which allows the player to play flexibly towards their winning condition. Many positions on the board are often left “unresolved” as a result of playing “lightly”. As the game continues and the board becomes more defined, the player then has the option of giving up lower value positions and strengthening more valuable positions.</w:t>
      </w:r>
    </w:p>
  </w:footnote>
  <w:footnote w:id="10">
    <w:p w:rsidR="00077422" w:rsidRDefault="00077422">
      <w:pPr>
        <w:pStyle w:val="FootnoteText"/>
      </w:pPr>
      <w:r>
        <w:rPr>
          <w:rStyle w:val="FootnoteReference"/>
        </w:rPr>
        <w:footnoteRef/>
      </w:r>
      <w:r>
        <w:t xml:space="preserve"> Note that tempo does not refer to time. Tempo refers to the pace of the game in terms of where moves are played, and the interaction between the moves of both players on the board.</w:t>
      </w:r>
    </w:p>
  </w:footnote>
  <w:footnote w:id="11">
    <w:p w:rsidR="00077422" w:rsidRDefault="00077422">
      <w:pPr>
        <w:pStyle w:val="FootnoteText"/>
      </w:pPr>
      <w:r>
        <w:rPr>
          <w:rStyle w:val="FootnoteReference"/>
        </w:rPr>
        <w:footnoteRef/>
      </w:r>
      <w:r>
        <w:t xml:space="preserve"> </w:t>
      </w:r>
      <w:r w:rsidRPr="005E7982">
        <w:t>Each Go game-record was collected as an SGF (Smart Go Format) file. SGF is the standard, text-based format for Go, and contains all game details.</w:t>
      </w:r>
    </w:p>
  </w:footnote>
  <w:footnote w:id="12">
    <w:p w:rsidR="00077422" w:rsidRDefault="00077422">
      <w:pPr>
        <w:pStyle w:val="FootnoteText"/>
      </w:pPr>
      <w:r>
        <w:rPr>
          <w:rStyle w:val="FootnoteReference"/>
        </w:rPr>
        <w:footnoteRef/>
      </w:r>
      <w:r>
        <w:t xml:space="preserve"> AlphaGo won all games in this category, i.e. it played 29 games with Black, and 31 games with White.</w:t>
      </w:r>
    </w:p>
  </w:footnote>
  <w:footnote w:id="13">
    <w:p w:rsidR="00077422" w:rsidRDefault="00077422">
      <w:pPr>
        <w:pStyle w:val="FootnoteText"/>
      </w:pPr>
      <w:r>
        <w:rPr>
          <w:rStyle w:val="FootnoteReference"/>
        </w:rPr>
        <w:footnoteRef/>
      </w:r>
      <w:r>
        <w:t xml:space="preserve"> For details on types of wins (by counting or by resignation), and a breakdown of the Pro vs. Pro category, see Appendix 8.1. Overall win-rates are sufficient for the purposes of this study.</w:t>
      </w:r>
    </w:p>
  </w:footnote>
  <w:footnote w:id="14">
    <w:p w:rsidR="00077422" w:rsidRDefault="00077422">
      <w:pPr>
        <w:pStyle w:val="FootnoteText"/>
      </w:pPr>
      <w:r>
        <w:rPr>
          <w:rStyle w:val="FootnoteReference"/>
        </w:rPr>
        <w:footnoteRef/>
      </w:r>
      <w:r>
        <w:t xml:space="preserve"> Comparing playstyle and win-rate differences with a focus on the AG vs. Pro category would be an interesting topic for further exploration. We could also test for differences in category means using methods such as ANOVA.</w:t>
      </w:r>
    </w:p>
  </w:footnote>
  <w:footnote w:id="15">
    <w:p w:rsidR="00077422" w:rsidRDefault="00077422">
      <w:pPr>
        <w:pStyle w:val="FootnoteText"/>
      </w:pPr>
      <w:r>
        <w:rPr>
          <w:rStyle w:val="FootnoteReference"/>
        </w:rPr>
        <w:footnoteRef/>
      </w:r>
      <w:r>
        <w:t xml:space="preserve"> Rectilinear distance is another method of measuring distance and tempo. It is defined as the sum of the absolute differences between the corresponding components of two Cartesian coordinates. Rectilinear distance was rejected in favor of Euclidean distance, since the prior tends to overestimate the tempo of diagonal points.</w:t>
      </w:r>
    </w:p>
  </w:footnote>
  <w:footnote w:id="16">
    <w:p w:rsidR="00077422" w:rsidRDefault="00077422">
      <w:pPr>
        <w:pStyle w:val="FootnoteText"/>
      </w:pPr>
      <w:r>
        <w:rPr>
          <w:rStyle w:val="FootnoteReference"/>
        </w:rPr>
        <w:footnoteRef/>
      </w:r>
      <w:r>
        <w:t xml:space="preserve"> Euclidean distance on a 19x19 Go board has a lower bound of </w:t>
      </w:r>
      <m:oMath>
        <m:r>
          <w:rPr>
            <w:rFonts w:ascii="Cambria Math" w:hAnsi="Cambria Math"/>
          </w:rPr>
          <m:t>1</m:t>
        </m:r>
      </m:oMath>
      <w:r>
        <w:t xml:space="preserve"> and an upper bound of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(18)</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(18)</m:t>
                </m:r>
              </m:e>
              <m:sup>
                <m:r>
                  <w:rPr>
                    <w:rFonts w:ascii="Cambria Math" w:hAnsi="Cambria Math"/>
                  </w:rPr>
                  <m:t>2</m:t>
                </m:r>
              </m:sup>
            </m:sSup>
          </m:e>
        </m:rad>
      </m:oMath>
      <w:r>
        <w:t>, but in an actual game, average Euclidean distance Is limited to a small range between 3 to 10.</w:t>
      </w:r>
    </w:p>
  </w:footnote>
  <w:footnote w:id="17">
    <w:p w:rsidR="00077422" w:rsidRDefault="00077422">
      <w:pPr>
        <w:pStyle w:val="FootnoteText"/>
      </w:pPr>
      <w:r>
        <w:rPr>
          <w:rStyle w:val="FootnoteReference"/>
        </w:rPr>
        <w:footnoteRef/>
      </w:r>
      <w:r>
        <w:t xml:space="preserve"> Other regression methods such as LOESS yields a very similar or lower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value.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7422" w:rsidRDefault="00077422" w:rsidP="00F47269">
    <w:pPr>
      <w:pStyle w:val="Header"/>
    </w:pPr>
    <w:r>
      <w:t>Issac Yiu</w:t>
    </w:r>
    <w:r>
      <w:tab/>
    </w:r>
    <w:r>
      <w:tab/>
      <w:t>i.yiu@berkeley.edu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56E98"/>
    <w:multiLevelType w:val="hybridMultilevel"/>
    <w:tmpl w:val="88CA2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57122C"/>
    <w:multiLevelType w:val="hybridMultilevel"/>
    <w:tmpl w:val="742E91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D7D"/>
    <w:rsid w:val="00015BA7"/>
    <w:rsid w:val="00045C54"/>
    <w:rsid w:val="000546FB"/>
    <w:rsid w:val="00061A23"/>
    <w:rsid w:val="00061B49"/>
    <w:rsid w:val="00077422"/>
    <w:rsid w:val="00083B76"/>
    <w:rsid w:val="000A03BC"/>
    <w:rsid w:val="000B20CC"/>
    <w:rsid w:val="000C511D"/>
    <w:rsid w:val="000E0F74"/>
    <w:rsid w:val="000F085B"/>
    <w:rsid w:val="001005CC"/>
    <w:rsid w:val="00101652"/>
    <w:rsid w:val="001132EC"/>
    <w:rsid w:val="0011334E"/>
    <w:rsid w:val="001144E7"/>
    <w:rsid w:val="00115689"/>
    <w:rsid w:val="00120CB7"/>
    <w:rsid w:val="00143260"/>
    <w:rsid w:val="00172522"/>
    <w:rsid w:val="00173995"/>
    <w:rsid w:val="00185955"/>
    <w:rsid w:val="00187669"/>
    <w:rsid w:val="00187BD6"/>
    <w:rsid w:val="00195F9C"/>
    <w:rsid w:val="001A5DB1"/>
    <w:rsid w:val="001B20ED"/>
    <w:rsid w:val="001C7889"/>
    <w:rsid w:val="001D65B4"/>
    <w:rsid w:val="0020231D"/>
    <w:rsid w:val="00231767"/>
    <w:rsid w:val="00236F63"/>
    <w:rsid w:val="002950E9"/>
    <w:rsid w:val="002A454E"/>
    <w:rsid w:val="002B3E7C"/>
    <w:rsid w:val="002D1C3B"/>
    <w:rsid w:val="0031341D"/>
    <w:rsid w:val="003153F5"/>
    <w:rsid w:val="00320223"/>
    <w:rsid w:val="00325EB9"/>
    <w:rsid w:val="00334838"/>
    <w:rsid w:val="003363D7"/>
    <w:rsid w:val="003371FF"/>
    <w:rsid w:val="00352091"/>
    <w:rsid w:val="00352BE2"/>
    <w:rsid w:val="00366B8A"/>
    <w:rsid w:val="00374DE7"/>
    <w:rsid w:val="00392A80"/>
    <w:rsid w:val="003965D8"/>
    <w:rsid w:val="003A5F52"/>
    <w:rsid w:val="003B0550"/>
    <w:rsid w:val="003B2860"/>
    <w:rsid w:val="003C66C4"/>
    <w:rsid w:val="003D18A8"/>
    <w:rsid w:val="003D3CAD"/>
    <w:rsid w:val="003E0996"/>
    <w:rsid w:val="003E37AF"/>
    <w:rsid w:val="003F20AF"/>
    <w:rsid w:val="003F3EAA"/>
    <w:rsid w:val="0040212D"/>
    <w:rsid w:val="00403B14"/>
    <w:rsid w:val="00410ADF"/>
    <w:rsid w:val="004154AB"/>
    <w:rsid w:val="00415650"/>
    <w:rsid w:val="00417692"/>
    <w:rsid w:val="00425A33"/>
    <w:rsid w:val="00432B72"/>
    <w:rsid w:val="00454227"/>
    <w:rsid w:val="00471B81"/>
    <w:rsid w:val="004855AF"/>
    <w:rsid w:val="00486EDB"/>
    <w:rsid w:val="004905B7"/>
    <w:rsid w:val="004907FC"/>
    <w:rsid w:val="00493B4D"/>
    <w:rsid w:val="00494EA5"/>
    <w:rsid w:val="004A17FD"/>
    <w:rsid w:val="004A5E06"/>
    <w:rsid w:val="004C26C1"/>
    <w:rsid w:val="004C6159"/>
    <w:rsid w:val="004F709F"/>
    <w:rsid w:val="00514BBD"/>
    <w:rsid w:val="00543D38"/>
    <w:rsid w:val="005442F0"/>
    <w:rsid w:val="00546D93"/>
    <w:rsid w:val="00553AED"/>
    <w:rsid w:val="00574116"/>
    <w:rsid w:val="005834A6"/>
    <w:rsid w:val="00591A9F"/>
    <w:rsid w:val="005944E6"/>
    <w:rsid w:val="005A2BA4"/>
    <w:rsid w:val="005B23D5"/>
    <w:rsid w:val="005C4A94"/>
    <w:rsid w:val="005E7982"/>
    <w:rsid w:val="005F4695"/>
    <w:rsid w:val="00602248"/>
    <w:rsid w:val="00612DA6"/>
    <w:rsid w:val="00656DF5"/>
    <w:rsid w:val="00675CEB"/>
    <w:rsid w:val="00675ED8"/>
    <w:rsid w:val="00681C5D"/>
    <w:rsid w:val="00683281"/>
    <w:rsid w:val="00694B51"/>
    <w:rsid w:val="00697C0F"/>
    <w:rsid w:val="006B5635"/>
    <w:rsid w:val="006C2A36"/>
    <w:rsid w:val="006C5C44"/>
    <w:rsid w:val="006C5C6F"/>
    <w:rsid w:val="006E26E9"/>
    <w:rsid w:val="006E3474"/>
    <w:rsid w:val="006F7973"/>
    <w:rsid w:val="0071290E"/>
    <w:rsid w:val="00720056"/>
    <w:rsid w:val="00726436"/>
    <w:rsid w:val="00731923"/>
    <w:rsid w:val="00732C6B"/>
    <w:rsid w:val="007432FC"/>
    <w:rsid w:val="00771B9C"/>
    <w:rsid w:val="007941C4"/>
    <w:rsid w:val="007C021B"/>
    <w:rsid w:val="007C22B4"/>
    <w:rsid w:val="007D4224"/>
    <w:rsid w:val="007E1BC3"/>
    <w:rsid w:val="007F6E96"/>
    <w:rsid w:val="0081482D"/>
    <w:rsid w:val="00817F59"/>
    <w:rsid w:val="008234C8"/>
    <w:rsid w:val="00827054"/>
    <w:rsid w:val="00842721"/>
    <w:rsid w:val="00842A69"/>
    <w:rsid w:val="00861965"/>
    <w:rsid w:val="00866F51"/>
    <w:rsid w:val="00897382"/>
    <w:rsid w:val="008B4726"/>
    <w:rsid w:val="008C443E"/>
    <w:rsid w:val="008C670B"/>
    <w:rsid w:val="008D554B"/>
    <w:rsid w:val="008E4857"/>
    <w:rsid w:val="008E78A9"/>
    <w:rsid w:val="00914498"/>
    <w:rsid w:val="00935B32"/>
    <w:rsid w:val="00945DEF"/>
    <w:rsid w:val="0094634C"/>
    <w:rsid w:val="0097432D"/>
    <w:rsid w:val="009816D5"/>
    <w:rsid w:val="009902A6"/>
    <w:rsid w:val="009B02F2"/>
    <w:rsid w:val="009B1169"/>
    <w:rsid w:val="009B1FBF"/>
    <w:rsid w:val="009D09AD"/>
    <w:rsid w:val="009E39F9"/>
    <w:rsid w:val="00A03A47"/>
    <w:rsid w:val="00A30888"/>
    <w:rsid w:val="00A56AF7"/>
    <w:rsid w:val="00A629EC"/>
    <w:rsid w:val="00A904BF"/>
    <w:rsid w:val="00A92358"/>
    <w:rsid w:val="00AA4E3D"/>
    <w:rsid w:val="00AB7E84"/>
    <w:rsid w:val="00AC715E"/>
    <w:rsid w:val="00AD090D"/>
    <w:rsid w:val="00AF535C"/>
    <w:rsid w:val="00B022B0"/>
    <w:rsid w:val="00B2066B"/>
    <w:rsid w:val="00B24430"/>
    <w:rsid w:val="00B50F3E"/>
    <w:rsid w:val="00B51BC6"/>
    <w:rsid w:val="00B528F2"/>
    <w:rsid w:val="00B825C6"/>
    <w:rsid w:val="00BB3811"/>
    <w:rsid w:val="00BB6D5E"/>
    <w:rsid w:val="00BE5766"/>
    <w:rsid w:val="00BE6618"/>
    <w:rsid w:val="00BF1E94"/>
    <w:rsid w:val="00BF2779"/>
    <w:rsid w:val="00C171C9"/>
    <w:rsid w:val="00C22639"/>
    <w:rsid w:val="00C43064"/>
    <w:rsid w:val="00C51541"/>
    <w:rsid w:val="00C56172"/>
    <w:rsid w:val="00C71E3D"/>
    <w:rsid w:val="00C760C2"/>
    <w:rsid w:val="00C8385C"/>
    <w:rsid w:val="00CD0B27"/>
    <w:rsid w:val="00CD1D62"/>
    <w:rsid w:val="00CE3FEF"/>
    <w:rsid w:val="00CF0B94"/>
    <w:rsid w:val="00D00B78"/>
    <w:rsid w:val="00D2204D"/>
    <w:rsid w:val="00D3024D"/>
    <w:rsid w:val="00D321D4"/>
    <w:rsid w:val="00D401E4"/>
    <w:rsid w:val="00D51C21"/>
    <w:rsid w:val="00D7061C"/>
    <w:rsid w:val="00D74FB1"/>
    <w:rsid w:val="00D77819"/>
    <w:rsid w:val="00D8716F"/>
    <w:rsid w:val="00D95401"/>
    <w:rsid w:val="00D96D26"/>
    <w:rsid w:val="00DA3626"/>
    <w:rsid w:val="00DB527F"/>
    <w:rsid w:val="00DC63D6"/>
    <w:rsid w:val="00DD0000"/>
    <w:rsid w:val="00DD0CF7"/>
    <w:rsid w:val="00DD187D"/>
    <w:rsid w:val="00DE75FF"/>
    <w:rsid w:val="00DF55DD"/>
    <w:rsid w:val="00E01B2C"/>
    <w:rsid w:val="00E01CEF"/>
    <w:rsid w:val="00E42950"/>
    <w:rsid w:val="00E44D7D"/>
    <w:rsid w:val="00E53BE9"/>
    <w:rsid w:val="00E61C11"/>
    <w:rsid w:val="00E61E01"/>
    <w:rsid w:val="00E62F17"/>
    <w:rsid w:val="00E745FF"/>
    <w:rsid w:val="00E900E0"/>
    <w:rsid w:val="00EA5F2E"/>
    <w:rsid w:val="00EC18D4"/>
    <w:rsid w:val="00EC55F3"/>
    <w:rsid w:val="00EC7B76"/>
    <w:rsid w:val="00ED0165"/>
    <w:rsid w:val="00ED7C63"/>
    <w:rsid w:val="00EE0F23"/>
    <w:rsid w:val="00EE570A"/>
    <w:rsid w:val="00EF6D9A"/>
    <w:rsid w:val="00F00D95"/>
    <w:rsid w:val="00F00E62"/>
    <w:rsid w:val="00F135D2"/>
    <w:rsid w:val="00F36804"/>
    <w:rsid w:val="00F451BD"/>
    <w:rsid w:val="00F47269"/>
    <w:rsid w:val="00F56B7A"/>
    <w:rsid w:val="00F60B63"/>
    <w:rsid w:val="00F63025"/>
    <w:rsid w:val="00F86BF9"/>
    <w:rsid w:val="00F90567"/>
    <w:rsid w:val="00FA0D50"/>
    <w:rsid w:val="00FC0AED"/>
    <w:rsid w:val="00FD0444"/>
    <w:rsid w:val="00FD4296"/>
    <w:rsid w:val="00FE1014"/>
    <w:rsid w:val="00FE55AA"/>
    <w:rsid w:val="00FE7BEC"/>
    <w:rsid w:val="00FE7EBA"/>
    <w:rsid w:val="00FF70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07243"/>
  <w15:chartTrackingRefBased/>
  <w15:docId w15:val="{3DCAA994-55EB-4046-8C33-65C94F55C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03BC"/>
  </w:style>
  <w:style w:type="paragraph" w:styleId="Heading1">
    <w:name w:val="heading 1"/>
    <w:basedOn w:val="Normal"/>
    <w:next w:val="Normal"/>
    <w:link w:val="Heading1Char"/>
    <w:uiPriority w:val="9"/>
    <w:qFormat/>
    <w:rsid w:val="00866F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6F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4A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4A94"/>
  </w:style>
  <w:style w:type="paragraph" w:styleId="Footer">
    <w:name w:val="footer"/>
    <w:basedOn w:val="Normal"/>
    <w:link w:val="FooterChar"/>
    <w:uiPriority w:val="99"/>
    <w:unhideWhenUsed/>
    <w:rsid w:val="005C4A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A94"/>
  </w:style>
  <w:style w:type="character" w:customStyle="1" w:styleId="Heading1Char">
    <w:name w:val="Heading 1 Char"/>
    <w:basedOn w:val="DefaultParagraphFont"/>
    <w:link w:val="Heading1"/>
    <w:uiPriority w:val="9"/>
    <w:rsid w:val="00866F5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66F51"/>
    <w:pPr>
      <w:outlineLvl w:val="9"/>
    </w:pPr>
    <w:rPr>
      <w:lang w:eastAsia="en-US"/>
    </w:rPr>
  </w:style>
  <w:style w:type="paragraph" w:styleId="TOC1">
    <w:name w:val="toc 1"/>
    <w:basedOn w:val="Normal"/>
    <w:next w:val="Normal"/>
    <w:autoRedefine/>
    <w:uiPriority w:val="39"/>
    <w:unhideWhenUsed/>
    <w:rsid w:val="00866F51"/>
    <w:pPr>
      <w:spacing w:after="100"/>
    </w:pPr>
  </w:style>
  <w:style w:type="character" w:styleId="Hyperlink">
    <w:name w:val="Hyperlink"/>
    <w:basedOn w:val="DefaultParagraphFont"/>
    <w:uiPriority w:val="99"/>
    <w:unhideWhenUsed/>
    <w:rsid w:val="00866F51"/>
    <w:rPr>
      <w:color w:val="0563C1" w:themeColor="hyperlink"/>
      <w:u w:val="single"/>
    </w:rPr>
  </w:style>
  <w:style w:type="character" w:customStyle="1" w:styleId="Heading2Char">
    <w:name w:val="Heading 2 Char"/>
    <w:basedOn w:val="DefaultParagraphFont"/>
    <w:link w:val="Heading2"/>
    <w:uiPriority w:val="9"/>
    <w:rsid w:val="00866F51"/>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C51541"/>
    <w:rPr>
      <w:color w:val="808080"/>
      <w:shd w:val="clear" w:color="auto" w:fill="E6E6E6"/>
    </w:rPr>
  </w:style>
  <w:style w:type="paragraph" w:styleId="TOC2">
    <w:name w:val="toc 2"/>
    <w:basedOn w:val="Normal"/>
    <w:next w:val="Normal"/>
    <w:autoRedefine/>
    <w:uiPriority w:val="39"/>
    <w:unhideWhenUsed/>
    <w:rsid w:val="00E01CEF"/>
    <w:pPr>
      <w:spacing w:after="100"/>
      <w:ind w:left="220"/>
    </w:pPr>
  </w:style>
  <w:style w:type="table" w:styleId="TableGrid">
    <w:name w:val="Table Grid"/>
    <w:basedOn w:val="TableNormal"/>
    <w:uiPriority w:val="39"/>
    <w:rsid w:val="001156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CD1D62"/>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8C670B"/>
    <w:pPr>
      <w:ind w:left="720"/>
      <w:contextualSpacing/>
    </w:pPr>
  </w:style>
  <w:style w:type="character" w:styleId="PlaceholderText">
    <w:name w:val="Placeholder Text"/>
    <w:basedOn w:val="DefaultParagraphFont"/>
    <w:uiPriority w:val="99"/>
    <w:semiHidden/>
    <w:rsid w:val="00553AED"/>
    <w:rPr>
      <w:color w:val="808080"/>
    </w:rPr>
  </w:style>
  <w:style w:type="paragraph" w:styleId="EndnoteText">
    <w:name w:val="endnote text"/>
    <w:basedOn w:val="Normal"/>
    <w:link w:val="EndnoteTextChar"/>
    <w:uiPriority w:val="99"/>
    <w:semiHidden/>
    <w:unhideWhenUsed/>
    <w:rsid w:val="00C4306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43064"/>
    <w:rPr>
      <w:sz w:val="20"/>
      <w:szCs w:val="20"/>
    </w:rPr>
  </w:style>
  <w:style w:type="character" w:styleId="EndnoteReference">
    <w:name w:val="endnote reference"/>
    <w:basedOn w:val="DefaultParagraphFont"/>
    <w:uiPriority w:val="99"/>
    <w:semiHidden/>
    <w:unhideWhenUsed/>
    <w:rsid w:val="00C43064"/>
    <w:rPr>
      <w:vertAlign w:val="superscript"/>
    </w:rPr>
  </w:style>
  <w:style w:type="paragraph" w:styleId="FootnoteText">
    <w:name w:val="footnote text"/>
    <w:basedOn w:val="Normal"/>
    <w:link w:val="FootnoteTextChar"/>
    <w:uiPriority w:val="99"/>
    <w:semiHidden/>
    <w:unhideWhenUsed/>
    <w:rsid w:val="001D65B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65B4"/>
    <w:rPr>
      <w:sz w:val="20"/>
      <w:szCs w:val="20"/>
    </w:rPr>
  </w:style>
  <w:style w:type="character" w:styleId="FootnoteReference">
    <w:name w:val="footnote reference"/>
    <w:basedOn w:val="DefaultParagraphFont"/>
    <w:uiPriority w:val="99"/>
    <w:semiHidden/>
    <w:unhideWhenUsed/>
    <w:rsid w:val="001D65B4"/>
    <w:rPr>
      <w:vertAlign w:val="superscript"/>
    </w:rPr>
  </w:style>
  <w:style w:type="character" w:styleId="FollowedHyperlink">
    <w:name w:val="FollowedHyperlink"/>
    <w:basedOn w:val="DefaultParagraphFont"/>
    <w:uiPriority w:val="99"/>
    <w:semiHidden/>
    <w:unhideWhenUsed/>
    <w:rsid w:val="009816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68468">
      <w:bodyDiv w:val="1"/>
      <w:marLeft w:val="0"/>
      <w:marRight w:val="0"/>
      <w:marTop w:val="0"/>
      <w:marBottom w:val="0"/>
      <w:divBdr>
        <w:top w:val="none" w:sz="0" w:space="0" w:color="auto"/>
        <w:left w:val="none" w:sz="0" w:space="0" w:color="auto"/>
        <w:bottom w:val="none" w:sz="0" w:space="0" w:color="auto"/>
        <w:right w:val="none" w:sz="0" w:space="0" w:color="auto"/>
      </w:divBdr>
    </w:div>
    <w:div w:id="53893200">
      <w:bodyDiv w:val="1"/>
      <w:marLeft w:val="0"/>
      <w:marRight w:val="0"/>
      <w:marTop w:val="0"/>
      <w:marBottom w:val="0"/>
      <w:divBdr>
        <w:top w:val="none" w:sz="0" w:space="0" w:color="auto"/>
        <w:left w:val="none" w:sz="0" w:space="0" w:color="auto"/>
        <w:bottom w:val="none" w:sz="0" w:space="0" w:color="auto"/>
        <w:right w:val="none" w:sz="0" w:space="0" w:color="auto"/>
      </w:divBdr>
    </w:div>
    <w:div w:id="317078612">
      <w:bodyDiv w:val="1"/>
      <w:marLeft w:val="0"/>
      <w:marRight w:val="0"/>
      <w:marTop w:val="0"/>
      <w:marBottom w:val="0"/>
      <w:divBdr>
        <w:top w:val="none" w:sz="0" w:space="0" w:color="auto"/>
        <w:left w:val="none" w:sz="0" w:space="0" w:color="auto"/>
        <w:bottom w:val="none" w:sz="0" w:space="0" w:color="auto"/>
        <w:right w:val="none" w:sz="0" w:space="0" w:color="auto"/>
      </w:divBdr>
    </w:div>
    <w:div w:id="319651370">
      <w:bodyDiv w:val="1"/>
      <w:marLeft w:val="0"/>
      <w:marRight w:val="0"/>
      <w:marTop w:val="0"/>
      <w:marBottom w:val="0"/>
      <w:divBdr>
        <w:top w:val="none" w:sz="0" w:space="0" w:color="auto"/>
        <w:left w:val="none" w:sz="0" w:space="0" w:color="auto"/>
        <w:bottom w:val="none" w:sz="0" w:space="0" w:color="auto"/>
        <w:right w:val="none" w:sz="0" w:space="0" w:color="auto"/>
      </w:divBdr>
    </w:div>
    <w:div w:id="1053309514">
      <w:bodyDiv w:val="1"/>
      <w:marLeft w:val="0"/>
      <w:marRight w:val="0"/>
      <w:marTop w:val="0"/>
      <w:marBottom w:val="0"/>
      <w:divBdr>
        <w:top w:val="none" w:sz="0" w:space="0" w:color="auto"/>
        <w:left w:val="none" w:sz="0" w:space="0" w:color="auto"/>
        <w:bottom w:val="none" w:sz="0" w:space="0" w:color="auto"/>
        <w:right w:val="none" w:sz="0" w:space="0" w:color="auto"/>
      </w:divBdr>
    </w:div>
    <w:div w:id="1241409077">
      <w:bodyDiv w:val="1"/>
      <w:marLeft w:val="0"/>
      <w:marRight w:val="0"/>
      <w:marTop w:val="0"/>
      <w:marBottom w:val="0"/>
      <w:divBdr>
        <w:top w:val="none" w:sz="0" w:space="0" w:color="auto"/>
        <w:left w:val="none" w:sz="0" w:space="0" w:color="auto"/>
        <w:bottom w:val="none" w:sz="0" w:space="0" w:color="auto"/>
        <w:right w:val="none" w:sz="0" w:space="0" w:color="auto"/>
      </w:divBdr>
    </w:div>
    <w:div w:id="1307708984">
      <w:bodyDiv w:val="1"/>
      <w:marLeft w:val="0"/>
      <w:marRight w:val="0"/>
      <w:marTop w:val="0"/>
      <w:marBottom w:val="0"/>
      <w:divBdr>
        <w:top w:val="none" w:sz="0" w:space="0" w:color="auto"/>
        <w:left w:val="none" w:sz="0" w:space="0" w:color="auto"/>
        <w:bottom w:val="none" w:sz="0" w:space="0" w:color="auto"/>
        <w:right w:val="none" w:sz="0" w:space="0" w:color="auto"/>
      </w:divBdr>
    </w:div>
    <w:div w:id="1460803365">
      <w:bodyDiv w:val="1"/>
      <w:marLeft w:val="0"/>
      <w:marRight w:val="0"/>
      <w:marTop w:val="0"/>
      <w:marBottom w:val="0"/>
      <w:divBdr>
        <w:top w:val="none" w:sz="0" w:space="0" w:color="auto"/>
        <w:left w:val="none" w:sz="0" w:space="0" w:color="auto"/>
        <w:bottom w:val="none" w:sz="0" w:space="0" w:color="auto"/>
        <w:right w:val="none" w:sz="0" w:space="0" w:color="auto"/>
      </w:divBdr>
    </w:div>
    <w:div w:id="1932270951">
      <w:bodyDiv w:val="1"/>
      <w:marLeft w:val="0"/>
      <w:marRight w:val="0"/>
      <w:marTop w:val="0"/>
      <w:marBottom w:val="0"/>
      <w:divBdr>
        <w:top w:val="none" w:sz="0" w:space="0" w:color="auto"/>
        <w:left w:val="none" w:sz="0" w:space="0" w:color="auto"/>
        <w:bottom w:val="none" w:sz="0" w:space="0" w:color="auto"/>
        <w:right w:val="none" w:sz="0" w:space="0" w:color="auto"/>
      </w:divBdr>
    </w:div>
    <w:div w:id="2024477321">
      <w:bodyDiv w:val="1"/>
      <w:marLeft w:val="0"/>
      <w:marRight w:val="0"/>
      <w:marTop w:val="0"/>
      <w:marBottom w:val="0"/>
      <w:divBdr>
        <w:top w:val="none" w:sz="0" w:space="0" w:color="auto"/>
        <w:left w:val="none" w:sz="0" w:space="0" w:color="auto"/>
        <w:bottom w:val="none" w:sz="0" w:space="0" w:color="auto"/>
        <w:right w:val="none" w:sz="0" w:space="0" w:color="auto"/>
      </w:divBdr>
    </w:div>
    <w:div w:id="2065568470">
      <w:bodyDiv w:val="1"/>
      <w:marLeft w:val="0"/>
      <w:marRight w:val="0"/>
      <w:marTop w:val="0"/>
      <w:marBottom w:val="0"/>
      <w:divBdr>
        <w:top w:val="none" w:sz="0" w:space="0" w:color="auto"/>
        <w:left w:val="none" w:sz="0" w:space="0" w:color="auto"/>
        <w:bottom w:val="none" w:sz="0" w:space="0" w:color="auto"/>
        <w:right w:val="none" w:sz="0" w:space="0" w:color="auto"/>
      </w:divBdr>
    </w:div>
    <w:div w:id="2116174697">
      <w:bodyDiv w:val="1"/>
      <w:marLeft w:val="0"/>
      <w:marRight w:val="0"/>
      <w:marTop w:val="0"/>
      <w:marBottom w:val="0"/>
      <w:divBdr>
        <w:top w:val="none" w:sz="0" w:space="0" w:color="auto"/>
        <w:left w:val="none" w:sz="0" w:space="0" w:color="auto"/>
        <w:bottom w:val="none" w:sz="0" w:space="0" w:color="auto"/>
        <w:right w:val="none" w:sz="0" w:space="0" w:color="auto"/>
      </w:divBdr>
    </w:div>
    <w:div w:id="2125994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china.org.cn/english/features/Archaeology/131298.ht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theverge.com/2016/3/9/11185030/google-deepmind-alphago-go-artificial-intelligence-impact" TargetMode="External"/><Relationship Id="rId2" Type="http://schemas.openxmlformats.org/officeDocument/2006/relationships/numbering" Target="numbering.xml"/><Relationship Id="rId16" Type="http://schemas.openxmlformats.org/officeDocument/2006/relationships/hyperlink" Target="http://www.usgo.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eurogofed.org/about/"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CFA20-30EC-488D-9B9E-7544C0129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3468</TotalTime>
  <Pages>1</Pages>
  <Words>3676</Words>
  <Characters>20954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Issac Yiu</dc:creator>
  <cp:keywords/>
  <dc:description/>
  <cp:lastModifiedBy>Issac Yiu</cp:lastModifiedBy>
  <cp:revision>409</cp:revision>
  <cp:lastPrinted>2017-12-03T00:15:00Z</cp:lastPrinted>
  <dcterms:created xsi:type="dcterms:W3CDTF">2017-11-28T09:37:00Z</dcterms:created>
  <dcterms:modified xsi:type="dcterms:W3CDTF">2017-12-03T00:16:00Z</dcterms:modified>
</cp:coreProperties>
</file>